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D25C" w14:textId="0DB81EA6" w:rsidR="00012523" w:rsidRPr="006111AD" w:rsidRDefault="00012523" w:rsidP="00012523">
      <w:pPr>
        <w:autoSpaceDE w:val="0"/>
        <w:autoSpaceDN w:val="0"/>
        <w:adjustRightInd w:val="0"/>
        <w:snapToGrid w:val="0"/>
        <w:rPr>
          <w:rFonts w:ascii="Arial" w:hAnsi="Arial" w:cs="Arial"/>
          <w:b/>
          <w:color w:val="000000"/>
          <w:sz w:val="28"/>
          <w:szCs w:val="28"/>
        </w:rPr>
      </w:pPr>
      <w:r w:rsidRPr="006111AD">
        <w:rPr>
          <w:rFonts w:ascii="Arial" w:hAnsi="Arial" w:cs="Arial"/>
          <w:b/>
          <w:color w:val="000000"/>
          <w:sz w:val="28"/>
          <w:szCs w:val="28"/>
        </w:rPr>
        <w:t>Annexe au communiqué de presse</w:t>
      </w:r>
      <w:r w:rsidR="00ED0C29">
        <w:rPr>
          <w:rFonts w:ascii="Arial" w:hAnsi="Arial" w:cs="Arial"/>
          <w:b/>
          <w:color w:val="000000"/>
          <w:sz w:val="28"/>
          <w:szCs w:val="28"/>
        </w:rPr>
        <w:t xml:space="preserve"> du 22 juin 2021</w:t>
      </w:r>
    </w:p>
    <w:p w14:paraId="3FB5D343" w14:textId="77777777" w:rsidR="00012523" w:rsidRDefault="00012523" w:rsidP="00012523">
      <w:pPr>
        <w:autoSpaceDE w:val="0"/>
        <w:autoSpaceDN w:val="0"/>
        <w:adjustRightInd w:val="0"/>
        <w:snapToGrid w:val="0"/>
        <w:rPr>
          <w:rFonts w:ascii="Arial" w:hAnsi="Arial" w:cs="Arial"/>
          <w:color w:val="000000"/>
        </w:rPr>
      </w:pPr>
    </w:p>
    <w:p w14:paraId="3D7681E3" w14:textId="77777777" w:rsidR="00012523" w:rsidRPr="003069B9" w:rsidRDefault="00012523" w:rsidP="00012523">
      <w:pPr>
        <w:autoSpaceDE w:val="0"/>
        <w:autoSpaceDN w:val="0"/>
        <w:adjustRightInd w:val="0"/>
        <w:snapToGrid w:val="0"/>
        <w:rPr>
          <w:rFonts w:ascii="Arial" w:hAnsi="Arial" w:cs="Arial"/>
          <w:lang w:eastAsia="fr-CA"/>
        </w:rPr>
      </w:pPr>
      <w:r w:rsidRPr="003069B9">
        <w:rPr>
          <w:rFonts w:ascii="Arial" w:hAnsi="Arial" w:cs="Arial"/>
          <w:color w:val="000000"/>
        </w:rPr>
        <w:t xml:space="preserve">Quelques exemples de productions québécoises soutenues cette année et des sommes </w:t>
      </w:r>
      <w:r w:rsidR="003A5E05">
        <w:rPr>
          <w:rFonts w:ascii="Arial" w:hAnsi="Arial" w:cs="Arial"/>
          <w:color w:val="000000"/>
        </w:rPr>
        <w:t>versés</w:t>
      </w:r>
      <w:r w:rsidR="003A5E05" w:rsidRPr="003069B9">
        <w:rPr>
          <w:rFonts w:ascii="Arial" w:hAnsi="Arial" w:cs="Arial"/>
          <w:color w:val="000000"/>
        </w:rPr>
        <w:t xml:space="preserve"> </w:t>
      </w:r>
      <w:r w:rsidR="003A5E05">
        <w:rPr>
          <w:rFonts w:ascii="Arial" w:hAnsi="Arial" w:cs="Arial"/>
          <w:color w:val="000000"/>
        </w:rPr>
        <w:t>grâce au</w:t>
      </w:r>
      <w:r w:rsidRPr="003069B9">
        <w:rPr>
          <w:rFonts w:ascii="Arial" w:hAnsi="Arial" w:cs="Arial"/>
          <w:color w:val="000000"/>
        </w:rPr>
        <w:t xml:space="preserve"> programme </w:t>
      </w:r>
      <w:r w:rsidRPr="003069B9">
        <w:rPr>
          <w:rFonts w:ascii="Arial" w:hAnsi="Arial" w:cs="Arial"/>
          <w:shd w:val="clear" w:color="auto" w:fill="FFFFFF"/>
        </w:rPr>
        <w:t xml:space="preserve">d’aide à la production, volet 1 : </w:t>
      </w:r>
      <w:r w:rsidR="003A5E05">
        <w:rPr>
          <w:rFonts w:ascii="Arial" w:hAnsi="Arial" w:cs="Arial"/>
          <w:shd w:val="clear" w:color="auto" w:fill="FFFFFF"/>
        </w:rPr>
        <w:t>A</w:t>
      </w:r>
      <w:r w:rsidRPr="003069B9">
        <w:rPr>
          <w:rFonts w:ascii="Arial" w:hAnsi="Arial" w:cs="Arial"/>
          <w:lang w:eastAsia="fr-CA"/>
        </w:rPr>
        <w:t xml:space="preserve">ide sélective à la production de longs métrages de fiction : </w:t>
      </w:r>
    </w:p>
    <w:p w14:paraId="0661C56C" w14:textId="77777777" w:rsidR="00012523" w:rsidRPr="003069B9" w:rsidRDefault="00012523" w:rsidP="00012523">
      <w:pPr>
        <w:autoSpaceDE w:val="0"/>
        <w:autoSpaceDN w:val="0"/>
        <w:adjustRightInd w:val="0"/>
        <w:snapToGrid w:val="0"/>
        <w:rPr>
          <w:rFonts w:ascii="Arial" w:hAnsi="Arial" w:cs="Arial"/>
          <w:lang w:eastAsia="fr-CA"/>
        </w:rPr>
      </w:pPr>
    </w:p>
    <w:p w14:paraId="6492A303" w14:textId="77777777" w:rsidR="00EF4779" w:rsidRPr="00012523" w:rsidRDefault="00EF4779" w:rsidP="00EF4779">
      <w:pPr>
        <w:pStyle w:val="Paragraphedeliste"/>
        <w:numPr>
          <w:ilvl w:val="0"/>
          <w:numId w:val="1"/>
        </w:numPr>
      </w:pPr>
      <w:r w:rsidRPr="00012523">
        <w:rPr>
          <w:rFonts w:ascii="Arial" w:hAnsi="Arial" w:cs="Arial"/>
          <w:i/>
          <w:iCs/>
        </w:rPr>
        <w:t xml:space="preserve">Au revoir le </w:t>
      </w:r>
      <w:r w:rsidRPr="00E71917">
        <w:rPr>
          <w:rFonts w:ascii="Arial" w:hAnsi="Arial" w:cs="Arial"/>
          <w:i/>
        </w:rPr>
        <w:t>bonheur</w:t>
      </w:r>
      <w:r w:rsidRPr="00012523">
        <w:rPr>
          <w:rFonts w:ascii="Arial" w:hAnsi="Arial" w:cs="Arial"/>
        </w:rPr>
        <w:t xml:space="preserve">, une comédie scénarisée et réalisée par Ken Scott, produit par </w:t>
      </w:r>
      <w:proofErr w:type="spellStart"/>
      <w:r w:rsidRPr="00012523">
        <w:rPr>
          <w:rFonts w:ascii="Arial" w:hAnsi="Arial" w:cs="Arial"/>
        </w:rPr>
        <w:t>Christal</w:t>
      </w:r>
      <w:proofErr w:type="spellEnd"/>
      <w:r w:rsidRPr="00012523">
        <w:rPr>
          <w:rFonts w:ascii="Arial" w:hAnsi="Arial" w:cs="Arial"/>
        </w:rPr>
        <w:t xml:space="preserve"> Films Productions </w:t>
      </w:r>
      <w:proofErr w:type="spellStart"/>
      <w:r w:rsidRPr="00012523">
        <w:rPr>
          <w:rFonts w:ascii="Arial" w:hAnsi="Arial" w:cs="Arial"/>
        </w:rPr>
        <w:t>inc.</w:t>
      </w:r>
      <w:proofErr w:type="spellEnd"/>
      <w:r w:rsidRPr="00012523">
        <w:rPr>
          <w:rFonts w:ascii="Arial" w:hAnsi="Arial" w:cs="Arial"/>
        </w:rPr>
        <w:t xml:space="preserve"> (2,6 M$ et une somme supplémentaire après le 31</w:t>
      </w:r>
      <w:r>
        <w:rPr>
          <w:rFonts w:ascii="Arial" w:hAnsi="Arial" w:cs="Arial"/>
        </w:rPr>
        <w:t> </w:t>
      </w:r>
      <w:r w:rsidRPr="00012523">
        <w:rPr>
          <w:rFonts w:ascii="Arial" w:hAnsi="Arial" w:cs="Arial"/>
        </w:rPr>
        <w:t>mars</w:t>
      </w:r>
      <w:r>
        <w:rPr>
          <w:rFonts w:ascii="Arial" w:hAnsi="Arial" w:cs="Arial"/>
        </w:rPr>
        <w:t> </w:t>
      </w:r>
      <w:r w:rsidRPr="00012523">
        <w:rPr>
          <w:rFonts w:ascii="Arial" w:hAnsi="Arial" w:cs="Arial"/>
        </w:rPr>
        <w:t>2021 pour un total de 2,78 M$ + 757 k$ pour les mesures sanitaires).</w:t>
      </w:r>
    </w:p>
    <w:p w14:paraId="54389790" w14:textId="77777777" w:rsidR="00EF4779" w:rsidRPr="003069B9" w:rsidRDefault="00EF4779" w:rsidP="00EF4779">
      <w:pPr>
        <w:pStyle w:val="Paragraphedeliste"/>
        <w:numPr>
          <w:ilvl w:val="0"/>
          <w:numId w:val="1"/>
        </w:numPr>
        <w:rPr>
          <w:rFonts w:ascii="Arial" w:hAnsi="Arial" w:cs="Arial"/>
        </w:rPr>
      </w:pPr>
      <w:proofErr w:type="spellStart"/>
      <w:r w:rsidRPr="003069B9">
        <w:rPr>
          <w:rFonts w:ascii="Arial" w:hAnsi="Arial" w:cs="Arial"/>
          <w:i/>
          <w:iCs/>
        </w:rPr>
        <w:t>Babysitter</w:t>
      </w:r>
      <w:proofErr w:type="spellEnd"/>
      <w:r w:rsidRPr="003069B9">
        <w:rPr>
          <w:rFonts w:ascii="Arial" w:hAnsi="Arial" w:cs="Arial"/>
          <w:i/>
          <w:iCs/>
        </w:rPr>
        <w:t xml:space="preserve">, </w:t>
      </w:r>
      <w:r w:rsidRPr="00E71917">
        <w:rPr>
          <w:rFonts w:ascii="Arial" w:hAnsi="Arial" w:cs="Arial"/>
          <w:iCs/>
        </w:rPr>
        <w:t xml:space="preserve">comédie </w:t>
      </w:r>
      <w:r w:rsidRPr="003069B9">
        <w:rPr>
          <w:rFonts w:ascii="Arial" w:hAnsi="Arial" w:cs="Arial"/>
        </w:rPr>
        <w:t>scénarisée par Catherine Léger et</w:t>
      </w:r>
      <w:r w:rsidRPr="003069B9">
        <w:rPr>
          <w:rFonts w:ascii="Arial" w:hAnsi="Arial" w:cs="Arial"/>
          <w:i/>
          <w:iCs/>
        </w:rPr>
        <w:t xml:space="preserve"> </w:t>
      </w:r>
      <w:r w:rsidRPr="003069B9">
        <w:rPr>
          <w:rFonts w:ascii="Arial" w:hAnsi="Arial" w:cs="Arial"/>
        </w:rPr>
        <w:t xml:space="preserve">réalisée par Monia Chokri, coproduit par Amérique Film </w:t>
      </w:r>
      <w:proofErr w:type="spellStart"/>
      <w:r w:rsidRPr="003069B9">
        <w:rPr>
          <w:rFonts w:ascii="Arial" w:hAnsi="Arial" w:cs="Arial"/>
        </w:rPr>
        <w:t>inc.</w:t>
      </w:r>
      <w:proofErr w:type="spellEnd"/>
      <w:r w:rsidRPr="003069B9">
        <w:rPr>
          <w:rFonts w:ascii="Arial" w:hAnsi="Arial" w:cs="Arial"/>
        </w:rPr>
        <w:t xml:space="preserve"> (1,7 M$ + 137 k$ pour les mesures sanitaires)</w:t>
      </w:r>
      <w:r>
        <w:rPr>
          <w:rFonts w:ascii="Arial" w:hAnsi="Arial" w:cs="Arial"/>
        </w:rPr>
        <w:t>;</w:t>
      </w:r>
    </w:p>
    <w:p w14:paraId="3F3BEDD5" w14:textId="77777777" w:rsidR="00EF4779" w:rsidRPr="003069B9" w:rsidRDefault="00EF4779" w:rsidP="00EF4779">
      <w:pPr>
        <w:pStyle w:val="Paragraphedeliste"/>
        <w:numPr>
          <w:ilvl w:val="0"/>
          <w:numId w:val="1"/>
        </w:numPr>
        <w:rPr>
          <w:rFonts w:ascii="Arial" w:hAnsi="Arial" w:cs="Arial"/>
        </w:rPr>
      </w:pPr>
      <w:r w:rsidRPr="003069B9">
        <w:rPr>
          <w:rFonts w:ascii="Arial" w:hAnsi="Arial" w:cs="Arial"/>
          <w:i/>
          <w:iCs/>
        </w:rPr>
        <w:t>La légende du papillon</w:t>
      </w:r>
      <w:r w:rsidRPr="003069B9">
        <w:rPr>
          <w:rFonts w:ascii="Arial" w:hAnsi="Arial" w:cs="Arial"/>
        </w:rPr>
        <w:t xml:space="preserve">, film d’animation scénarisé par </w:t>
      </w:r>
      <w:r w:rsidRPr="003069B9">
        <w:rPr>
          <w:rFonts w:ascii="Arial" w:hAnsi="Arial" w:cs="Arial"/>
          <w:color w:val="333333"/>
          <w:shd w:val="clear" w:color="auto" w:fill="FFFFFF"/>
        </w:rPr>
        <w:t xml:space="preserve">Julie Burroughs, Jacques </w:t>
      </w:r>
      <w:proofErr w:type="spellStart"/>
      <w:r w:rsidRPr="003069B9">
        <w:rPr>
          <w:rFonts w:ascii="Arial" w:hAnsi="Arial" w:cs="Arial"/>
          <w:color w:val="333333"/>
          <w:shd w:val="clear" w:color="auto" w:fill="FFFFFF"/>
        </w:rPr>
        <w:t>Désy</w:t>
      </w:r>
      <w:proofErr w:type="spellEnd"/>
      <w:r w:rsidRPr="003069B9">
        <w:rPr>
          <w:rFonts w:ascii="Arial" w:hAnsi="Arial" w:cs="Arial"/>
          <w:color w:val="333333"/>
          <w:shd w:val="clear" w:color="auto" w:fill="FFFFFF"/>
        </w:rPr>
        <w:t xml:space="preserve">, Heidi Foss, </w:t>
      </w:r>
      <w:proofErr w:type="spellStart"/>
      <w:r w:rsidRPr="003069B9">
        <w:rPr>
          <w:rFonts w:ascii="Arial" w:hAnsi="Arial" w:cs="Arial"/>
          <w:color w:val="333333"/>
          <w:shd w:val="clear" w:color="auto" w:fill="FFFFFF"/>
        </w:rPr>
        <w:t>Lienne</w:t>
      </w:r>
      <w:proofErr w:type="spellEnd"/>
      <w:r w:rsidRPr="003069B9">
        <w:rPr>
          <w:rFonts w:ascii="Arial" w:hAnsi="Arial" w:cs="Arial"/>
          <w:color w:val="333333"/>
          <w:shd w:val="clear" w:color="auto" w:fill="FFFFFF"/>
        </w:rPr>
        <w:t xml:space="preserve"> </w:t>
      </w:r>
      <w:proofErr w:type="spellStart"/>
      <w:r w:rsidRPr="003069B9">
        <w:rPr>
          <w:rFonts w:ascii="Arial" w:hAnsi="Arial" w:cs="Arial"/>
          <w:color w:val="333333"/>
          <w:shd w:val="clear" w:color="auto" w:fill="FFFFFF"/>
        </w:rPr>
        <w:t>Sawatsky</w:t>
      </w:r>
      <w:proofErr w:type="spellEnd"/>
      <w:r w:rsidRPr="003069B9">
        <w:rPr>
          <w:rFonts w:ascii="Arial" w:hAnsi="Arial" w:cs="Arial"/>
          <w:color w:val="333333"/>
          <w:shd w:val="clear" w:color="auto" w:fill="FFFFFF"/>
        </w:rPr>
        <w:t xml:space="preserve"> et </w:t>
      </w:r>
      <w:r w:rsidRPr="003069B9">
        <w:rPr>
          <w:rFonts w:ascii="Arial" w:hAnsi="Arial" w:cs="Arial"/>
        </w:rPr>
        <w:t xml:space="preserve">réalisé par Sophie Roy et Jean-François Pouliot, produit par Les Production </w:t>
      </w:r>
      <w:proofErr w:type="spellStart"/>
      <w:r w:rsidRPr="003069B9">
        <w:rPr>
          <w:rFonts w:ascii="Arial" w:hAnsi="Arial" w:cs="Arial"/>
        </w:rPr>
        <w:t>CarpeDiem</w:t>
      </w:r>
      <w:proofErr w:type="spellEnd"/>
      <w:r w:rsidRPr="003069B9">
        <w:rPr>
          <w:rFonts w:ascii="Arial" w:hAnsi="Arial" w:cs="Arial"/>
        </w:rPr>
        <w:t xml:space="preserve"> (BT) </w:t>
      </w:r>
      <w:proofErr w:type="spellStart"/>
      <w:r w:rsidRPr="003069B9">
        <w:rPr>
          <w:rFonts w:ascii="Arial" w:hAnsi="Arial" w:cs="Arial"/>
        </w:rPr>
        <w:t>inc.</w:t>
      </w:r>
      <w:proofErr w:type="spellEnd"/>
      <w:r w:rsidRPr="003069B9">
        <w:rPr>
          <w:rFonts w:ascii="Arial" w:hAnsi="Arial" w:cs="Arial"/>
        </w:rPr>
        <w:t xml:space="preserve"> (3,5 M$ + 354 k$ pour les mesures sanitaires)</w:t>
      </w:r>
      <w:r>
        <w:rPr>
          <w:rFonts w:ascii="Arial" w:hAnsi="Arial" w:cs="Arial"/>
        </w:rPr>
        <w:t>;</w:t>
      </w:r>
    </w:p>
    <w:p w14:paraId="6FDF7F8C" w14:textId="77777777" w:rsidR="00012523" w:rsidRPr="003069B9" w:rsidRDefault="00012523" w:rsidP="00012523">
      <w:pPr>
        <w:pStyle w:val="Paragraphedeliste"/>
        <w:numPr>
          <w:ilvl w:val="0"/>
          <w:numId w:val="1"/>
        </w:numPr>
        <w:rPr>
          <w:rFonts w:ascii="Arial" w:hAnsi="Arial" w:cs="Arial"/>
        </w:rPr>
      </w:pPr>
      <w:r w:rsidRPr="003069B9">
        <w:rPr>
          <w:rFonts w:ascii="Arial" w:hAnsi="Arial" w:cs="Arial"/>
          <w:i/>
          <w:iCs/>
        </w:rPr>
        <w:t>L’Arracheuse de temps</w:t>
      </w:r>
      <w:r w:rsidRPr="003069B9">
        <w:rPr>
          <w:rFonts w:ascii="Arial" w:hAnsi="Arial" w:cs="Arial"/>
        </w:rPr>
        <w:t>, film de genre, réalisé par Francis Leclerc sur une adaptation littéraire de Fred Pellerin, produit par Attraction Images inc. (3,4 M$ + 587 k$ pour les mesures sanitaires)</w:t>
      </w:r>
      <w:r w:rsidR="003A5E05">
        <w:rPr>
          <w:rFonts w:ascii="Arial" w:hAnsi="Arial" w:cs="Arial"/>
        </w:rPr>
        <w:t>;</w:t>
      </w:r>
    </w:p>
    <w:p w14:paraId="080C2E45" w14:textId="77777777" w:rsidR="00012523" w:rsidRPr="00012523" w:rsidRDefault="00012523" w:rsidP="00012523">
      <w:pPr>
        <w:pStyle w:val="Paragraphedeliste"/>
        <w:numPr>
          <w:ilvl w:val="0"/>
          <w:numId w:val="1"/>
        </w:numPr>
      </w:pPr>
      <w:r w:rsidRPr="00581C31">
        <w:rPr>
          <w:rFonts w:ascii="Arial" w:hAnsi="Arial" w:cs="Arial"/>
          <w:i/>
          <w:iCs/>
        </w:rPr>
        <w:t>Le festin boréal</w:t>
      </w:r>
      <w:r w:rsidRPr="00581C31">
        <w:rPr>
          <w:rFonts w:ascii="Arial" w:hAnsi="Arial" w:cs="Arial"/>
        </w:rPr>
        <w:t xml:space="preserve">, scénarisé et réalisé par Robert Morin, produit par Les Productions </w:t>
      </w:r>
      <w:proofErr w:type="spellStart"/>
      <w:r w:rsidRPr="00581C31">
        <w:rPr>
          <w:rFonts w:ascii="Arial" w:hAnsi="Arial" w:cs="Arial"/>
        </w:rPr>
        <w:t>Kinesis</w:t>
      </w:r>
      <w:proofErr w:type="spellEnd"/>
      <w:r w:rsidRPr="00581C31">
        <w:rPr>
          <w:rFonts w:ascii="Arial" w:hAnsi="Arial" w:cs="Arial"/>
        </w:rPr>
        <w:t xml:space="preserve"> </w:t>
      </w:r>
      <w:proofErr w:type="spellStart"/>
      <w:r w:rsidRPr="00581C31">
        <w:rPr>
          <w:rFonts w:ascii="Arial" w:hAnsi="Arial" w:cs="Arial"/>
        </w:rPr>
        <w:t>inc.</w:t>
      </w:r>
      <w:proofErr w:type="spellEnd"/>
      <w:r w:rsidRPr="00581C31">
        <w:rPr>
          <w:rFonts w:ascii="Arial" w:hAnsi="Arial" w:cs="Arial"/>
        </w:rPr>
        <w:t xml:space="preserve"> (1,14 M$ + 431 k$ pour les mesures sanitaires)</w:t>
      </w:r>
      <w:r w:rsidR="003A5E05">
        <w:rPr>
          <w:rFonts w:ascii="Arial" w:hAnsi="Arial" w:cs="Arial"/>
        </w:rPr>
        <w:t>;</w:t>
      </w:r>
    </w:p>
    <w:p w14:paraId="014B719C" w14:textId="77777777" w:rsidR="004412A1" w:rsidRDefault="004412A1" w:rsidP="00012523">
      <w:pPr>
        <w:jc w:val="both"/>
        <w:rPr>
          <w:rFonts w:ascii="Arial" w:hAnsi="Arial" w:cs="Arial"/>
          <w:color w:val="000000"/>
        </w:rPr>
      </w:pPr>
    </w:p>
    <w:p w14:paraId="46521DA0" w14:textId="77777777" w:rsidR="004412A1" w:rsidRPr="004412A1" w:rsidRDefault="004412A1" w:rsidP="004412A1">
      <w:pPr>
        <w:jc w:val="both"/>
        <w:rPr>
          <w:rFonts w:ascii="Arial" w:hAnsi="Arial" w:cs="Arial"/>
          <w:b/>
          <w:color w:val="000000"/>
        </w:rPr>
      </w:pPr>
      <w:r w:rsidRPr="004412A1">
        <w:rPr>
          <w:rFonts w:ascii="Arial" w:hAnsi="Arial" w:cs="Arial"/>
          <w:b/>
          <w:color w:val="000000"/>
        </w:rPr>
        <w:t>Longs métrages de fiction</w:t>
      </w:r>
    </w:p>
    <w:p w14:paraId="5747668E" w14:textId="77777777" w:rsidR="004412A1" w:rsidRPr="004412A1" w:rsidRDefault="004412A1" w:rsidP="004412A1">
      <w:pPr>
        <w:jc w:val="both"/>
        <w:rPr>
          <w:rFonts w:ascii="Arial" w:hAnsi="Arial" w:cs="Arial"/>
          <w:b/>
          <w:color w:val="000000"/>
        </w:rPr>
      </w:pPr>
      <w:r w:rsidRPr="004412A1">
        <w:rPr>
          <w:rFonts w:ascii="Arial" w:hAnsi="Arial" w:cs="Arial"/>
          <w:color w:val="000000"/>
        </w:rPr>
        <w:t>Les sommes consacrées par la SODEC à la production de longs métrages de fiction ont doublé comparativement à l’année dernière, passant de 19,3</w:t>
      </w:r>
      <w:r w:rsidR="003A5E05">
        <w:rPr>
          <w:rFonts w:ascii="Arial" w:hAnsi="Arial" w:cs="Arial"/>
          <w:color w:val="000000"/>
        </w:rPr>
        <w:t> </w:t>
      </w:r>
      <w:r w:rsidRPr="004412A1">
        <w:rPr>
          <w:rFonts w:ascii="Arial" w:hAnsi="Arial" w:cs="Arial"/>
          <w:color w:val="000000"/>
        </w:rPr>
        <w:t>M$ en 2019-2020, à 38,1</w:t>
      </w:r>
      <w:r w:rsidR="003A5E05">
        <w:rPr>
          <w:rFonts w:ascii="Arial" w:hAnsi="Arial" w:cs="Arial"/>
          <w:color w:val="000000"/>
        </w:rPr>
        <w:t> </w:t>
      </w:r>
      <w:r w:rsidRPr="004412A1">
        <w:rPr>
          <w:rFonts w:ascii="Arial" w:hAnsi="Arial" w:cs="Arial"/>
          <w:color w:val="000000"/>
        </w:rPr>
        <w:t>M$ en 2020-2021.</w:t>
      </w:r>
    </w:p>
    <w:p w14:paraId="69363C4F" w14:textId="77777777" w:rsidR="004412A1" w:rsidRPr="004412A1" w:rsidRDefault="004412A1" w:rsidP="004412A1">
      <w:pPr>
        <w:jc w:val="both"/>
        <w:rPr>
          <w:rFonts w:ascii="Arial" w:hAnsi="Arial" w:cs="Arial"/>
          <w:color w:val="000000"/>
        </w:rPr>
      </w:pPr>
    </w:p>
    <w:p w14:paraId="60B4A406" w14:textId="77777777" w:rsidR="004412A1" w:rsidRPr="004412A1" w:rsidRDefault="004412A1" w:rsidP="004412A1">
      <w:pPr>
        <w:jc w:val="both"/>
        <w:rPr>
          <w:rFonts w:ascii="Arial" w:hAnsi="Arial" w:cs="Arial"/>
          <w:b/>
          <w:color w:val="000000"/>
        </w:rPr>
      </w:pPr>
      <w:r w:rsidRPr="004412A1">
        <w:rPr>
          <w:rFonts w:ascii="Arial" w:hAnsi="Arial" w:cs="Arial"/>
          <w:b/>
          <w:color w:val="000000"/>
        </w:rPr>
        <w:t>Séries télévisées</w:t>
      </w:r>
    </w:p>
    <w:p w14:paraId="0D0567A7" w14:textId="77777777" w:rsidR="004412A1" w:rsidRPr="004412A1" w:rsidRDefault="004412A1" w:rsidP="004412A1">
      <w:pPr>
        <w:jc w:val="both"/>
        <w:rPr>
          <w:rFonts w:ascii="Arial" w:hAnsi="Arial" w:cs="Arial"/>
          <w:color w:val="000000"/>
        </w:rPr>
      </w:pPr>
      <w:r w:rsidRPr="004412A1">
        <w:rPr>
          <w:rFonts w:ascii="Arial" w:hAnsi="Arial" w:cs="Arial"/>
          <w:color w:val="000000"/>
        </w:rPr>
        <w:t>Deux nouveaux programmes réguliers ont été créés en 2020-2021, pour permettre un meilleur financement des séries télévisées québécoises, accroître leur compétitivité sur les marchés nationaux et internationaux et soutenir la création de productions adaptées d’œuvres littéraires québécoises</w:t>
      </w:r>
      <w:r w:rsidR="003A5E05">
        <w:rPr>
          <w:rFonts w:ascii="Arial" w:hAnsi="Arial" w:cs="Arial"/>
          <w:color w:val="000000"/>
        </w:rPr>
        <w:t> </w:t>
      </w:r>
      <w:r w:rsidRPr="004412A1">
        <w:rPr>
          <w:rFonts w:ascii="Arial" w:hAnsi="Arial" w:cs="Arial"/>
          <w:color w:val="000000"/>
        </w:rPr>
        <w:t xml:space="preserve">: </w:t>
      </w:r>
    </w:p>
    <w:p w14:paraId="2366339B" w14:textId="77777777" w:rsidR="004412A1" w:rsidRPr="004412A1" w:rsidRDefault="004412A1" w:rsidP="004412A1">
      <w:pPr>
        <w:jc w:val="both"/>
        <w:rPr>
          <w:rFonts w:ascii="Arial" w:hAnsi="Arial" w:cs="Arial"/>
          <w:color w:val="000000"/>
        </w:rPr>
      </w:pPr>
    </w:p>
    <w:p w14:paraId="22D69528" w14:textId="77777777" w:rsidR="004412A1" w:rsidRPr="00E71917" w:rsidRDefault="003A5E05" w:rsidP="00E71917">
      <w:pPr>
        <w:pStyle w:val="Paragraphedeliste"/>
        <w:numPr>
          <w:ilvl w:val="0"/>
          <w:numId w:val="2"/>
        </w:numPr>
        <w:jc w:val="both"/>
        <w:rPr>
          <w:rFonts w:ascii="Arial" w:hAnsi="Arial" w:cs="Arial"/>
          <w:color w:val="000000"/>
        </w:rPr>
      </w:pPr>
      <w:r>
        <w:rPr>
          <w:rFonts w:ascii="Arial" w:hAnsi="Arial" w:cs="Arial"/>
          <w:color w:val="000000"/>
        </w:rPr>
        <w:t>l</w:t>
      </w:r>
      <w:r w:rsidR="004412A1" w:rsidRPr="00E71917">
        <w:rPr>
          <w:rFonts w:ascii="Arial" w:hAnsi="Arial" w:cs="Arial"/>
          <w:color w:val="000000"/>
        </w:rPr>
        <w:t xml:space="preserve">e programme d’aide au </w:t>
      </w:r>
      <w:proofErr w:type="spellStart"/>
      <w:r w:rsidR="004412A1" w:rsidRPr="00E71917">
        <w:rPr>
          <w:rFonts w:ascii="Arial" w:hAnsi="Arial" w:cs="Arial"/>
          <w:color w:val="000000"/>
        </w:rPr>
        <w:t>prédéveloppement</w:t>
      </w:r>
      <w:proofErr w:type="spellEnd"/>
      <w:r w:rsidR="004412A1" w:rsidRPr="00E71917">
        <w:rPr>
          <w:rFonts w:ascii="Arial" w:hAnsi="Arial" w:cs="Arial"/>
          <w:color w:val="000000"/>
        </w:rPr>
        <w:t xml:space="preserve"> de séries télévisées basées sur des adaptations littéraires a soutenu 15</w:t>
      </w:r>
      <w:r>
        <w:rPr>
          <w:rFonts w:ascii="Arial" w:hAnsi="Arial" w:cs="Arial"/>
          <w:color w:val="000000"/>
        </w:rPr>
        <w:t> </w:t>
      </w:r>
      <w:r w:rsidR="004412A1" w:rsidRPr="00E71917">
        <w:rPr>
          <w:rFonts w:ascii="Arial" w:hAnsi="Arial" w:cs="Arial"/>
          <w:color w:val="000000"/>
        </w:rPr>
        <w:t>projets cette année, à la hauteur de 249</w:t>
      </w:r>
      <w:r>
        <w:rPr>
          <w:rFonts w:ascii="Arial" w:hAnsi="Arial" w:cs="Arial"/>
          <w:color w:val="000000"/>
        </w:rPr>
        <w:t> </w:t>
      </w:r>
      <w:r w:rsidR="004412A1" w:rsidRPr="00E71917">
        <w:rPr>
          <w:rFonts w:ascii="Arial" w:hAnsi="Arial" w:cs="Arial"/>
          <w:color w:val="000000"/>
        </w:rPr>
        <w:t>904</w:t>
      </w:r>
      <w:r>
        <w:rPr>
          <w:rFonts w:ascii="Arial" w:hAnsi="Arial" w:cs="Arial"/>
          <w:color w:val="000000"/>
        </w:rPr>
        <w:t> </w:t>
      </w:r>
      <w:r w:rsidR="004412A1" w:rsidRPr="00E71917">
        <w:rPr>
          <w:rFonts w:ascii="Arial" w:hAnsi="Arial" w:cs="Arial"/>
          <w:color w:val="000000"/>
        </w:rPr>
        <w:t>$</w:t>
      </w:r>
      <w:r>
        <w:rPr>
          <w:rFonts w:ascii="Arial" w:hAnsi="Arial" w:cs="Arial"/>
          <w:color w:val="000000"/>
        </w:rPr>
        <w:t>;</w:t>
      </w:r>
      <w:r w:rsidR="004412A1" w:rsidRPr="00E71917">
        <w:rPr>
          <w:rFonts w:ascii="Arial" w:hAnsi="Arial" w:cs="Arial"/>
          <w:color w:val="000000"/>
        </w:rPr>
        <w:t xml:space="preserve"> </w:t>
      </w:r>
    </w:p>
    <w:p w14:paraId="1D24DCD3" w14:textId="77777777" w:rsidR="004412A1" w:rsidRPr="00E71917" w:rsidRDefault="003A5E05" w:rsidP="00E71917">
      <w:pPr>
        <w:pStyle w:val="Paragraphedeliste"/>
        <w:numPr>
          <w:ilvl w:val="0"/>
          <w:numId w:val="2"/>
        </w:numPr>
        <w:jc w:val="both"/>
        <w:rPr>
          <w:rFonts w:ascii="Arial" w:hAnsi="Arial" w:cs="Arial"/>
          <w:color w:val="000000"/>
        </w:rPr>
      </w:pPr>
      <w:r w:rsidRPr="00E71917">
        <w:rPr>
          <w:rFonts w:ascii="Arial" w:hAnsi="Arial" w:cs="Arial"/>
          <w:color w:val="000000"/>
        </w:rPr>
        <w:t>l</w:t>
      </w:r>
      <w:r w:rsidR="004412A1" w:rsidRPr="00E71917">
        <w:rPr>
          <w:rFonts w:ascii="Arial" w:hAnsi="Arial" w:cs="Arial"/>
          <w:color w:val="000000"/>
        </w:rPr>
        <w:t>e programme d’aide à la production télévisuelle – Bonification de la valeur de production vise entre autres à augmenter le potentiel commercial de projets de haut calibre sur les marchés hors Québec. La SODEC a financé 18 projets en 2020-2021 pour 10,1</w:t>
      </w:r>
      <w:r w:rsidRPr="00E71917">
        <w:rPr>
          <w:rFonts w:ascii="Arial" w:hAnsi="Arial" w:cs="Arial"/>
          <w:color w:val="000000"/>
        </w:rPr>
        <w:t> </w:t>
      </w:r>
      <w:r w:rsidR="004412A1" w:rsidRPr="00E71917">
        <w:rPr>
          <w:rFonts w:ascii="Arial" w:hAnsi="Arial" w:cs="Arial"/>
          <w:color w:val="000000"/>
        </w:rPr>
        <w:t xml:space="preserve">M$, dont la deuxième saison de la série </w:t>
      </w:r>
      <w:r w:rsidR="004412A1" w:rsidRPr="00E71917">
        <w:rPr>
          <w:rFonts w:ascii="Arial" w:hAnsi="Arial" w:cs="Arial"/>
          <w:i/>
          <w:color w:val="000000"/>
        </w:rPr>
        <w:t>C’est comme ça que je t’aime</w:t>
      </w:r>
      <w:r w:rsidR="004412A1" w:rsidRPr="00E71917">
        <w:rPr>
          <w:rFonts w:ascii="Arial" w:hAnsi="Arial" w:cs="Arial"/>
          <w:color w:val="000000"/>
        </w:rPr>
        <w:t xml:space="preserve"> (auteur</w:t>
      </w:r>
      <w:r w:rsidRPr="00E71917">
        <w:rPr>
          <w:rFonts w:ascii="Arial" w:hAnsi="Arial" w:cs="Arial"/>
          <w:color w:val="000000"/>
        </w:rPr>
        <w:t> </w:t>
      </w:r>
      <w:r w:rsidR="004412A1" w:rsidRPr="00E71917">
        <w:rPr>
          <w:rFonts w:ascii="Arial" w:hAnsi="Arial" w:cs="Arial"/>
          <w:color w:val="000000"/>
        </w:rPr>
        <w:t xml:space="preserve">: François </w:t>
      </w:r>
      <w:proofErr w:type="spellStart"/>
      <w:r w:rsidR="004412A1" w:rsidRPr="00E71917">
        <w:rPr>
          <w:rFonts w:ascii="Arial" w:hAnsi="Arial" w:cs="Arial"/>
          <w:color w:val="000000"/>
        </w:rPr>
        <w:t>Létourneau</w:t>
      </w:r>
      <w:proofErr w:type="spellEnd"/>
      <w:r w:rsidR="004412A1" w:rsidRPr="00E71917">
        <w:rPr>
          <w:rFonts w:ascii="Arial" w:hAnsi="Arial" w:cs="Arial"/>
          <w:color w:val="000000"/>
        </w:rPr>
        <w:t>, réalisateur</w:t>
      </w:r>
      <w:r w:rsidRPr="00E71917">
        <w:rPr>
          <w:rFonts w:ascii="Arial" w:hAnsi="Arial" w:cs="Arial"/>
          <w:color w:val="000000"/>
        </w:rPr>
        <w:t> </w:t>
      </w:r>
      <w:r w:rsidR="004412A1" w:rsidRPr="00E71917">
        <w:rPr>
          <w:rFonts w:ascii="Arial" w:hAnsi="Arial" w:cs="Arial"/>
          <w:color w:val="000000"/>
        </w:rPr>
        <w:t>: Jean-François Rivard, et Productions Casablanca) qui a reçu un financement de 750</w:t>
      </w:r>
      <w:r w:rsidRPr="00E71917">
        <w:rPr>
          <w:rFonts w:ascii="Arial" w:hAnsi="Arial" w:cs="Arial"/>
          <w:color w:val="000000"/>
        </w:rPr>
        <w:t> </w:t>
      </w:r>
      <w:r w:rsidR="004412A1" w:rsidRPr="00E71917">
        <w:rPr>
          <w:rFonts w:ascii="Arial" w:hAnsi="Arial" w:cs="Arial"/>
          <w:color w:val="000000"/>
        </w:rPr>
        <w:t>000</w:t>
      </w:r>
      <w:r w:rsidRPr="00E71917">
        <w:rPr>
          <w:rFonts w:ascii="Arial" w:hAnsi="Arial" w:cs="Arial"/>
          <w:color w:val="000000"/>
        </w:rPr>
        <w:t> </w:t>
      </w:r>
      <w:r w:rsidR="004412A1" w:rsidRPr="00E71917">
        <w:rPr>
          <w:rFonts w:ascii="Arial" w:hAnsi="Arial" w:cs="Arial"/>
          <w:color w:val="000000"/>
        </w:rPr>
        <w:t xml:space="preserve">$. </w:t>
      </w:r>
    </w:p>
    <w:p w14:paraId="2A385475" w14:textId="77777777" w:rsidR="006F6515" w:rsidRDefault="006F6515" w:rsidP="00012523">
      <w:pPr>
        <w:jc w:val="both"/>
        <w:rPr>
          <w:rFonts w:ascii="Arial" w:hAnsi="Arial" w:cs="Arial"/>
          <w:color w:val="000000"/>
        </w:rPr>
      </w:pPr>
    </w:p>
    <w:p w14:paraId="4E0CE31F" w14:textId="77777777" w:rsidR="0006703E" w:rsidRDefault="0006703E" w:rsidP="0006703E">
      <w:pPr>
        <w:jc w:val="both"/>
        <w:rPr>
          <w:rFonts w:ascii="Arial" w:hAnsi="Arial" w:cs="Arial"/>
          <w:b/>
          <w:i/>
          <w:color w:val="000000"/>
        </w:rPr>
      </w:pPr>
    </w:p>
    <w:p w14:paraId="5F71F533" w14:textId="2813769B" w:rsidR="0006703E" w:rsidRPr="00EF4779" w:rsidRDefault="0006703E" w:rsidP="0006703E">
      <w:pPr>
        <w:jc w:val="both"/>
        <w:rPr>
          <w:rFonts w:ascii="Arial" w:hAnsi="Arial" w:cs="Arial"/>
          <w:b/>
          <w:iCs/>
          <w:color w:val="000000"/>
        </w:rPr>
      </w:pPr>
      <w:r w:rsidRPr="006111AD">
        <w:rPr>
          <w:rFonts w:ascii="Arial" w:hAnsi="Arial" w:cs="Arial"/>
          <w:b/>
          <w:i/>
          <w:color w:val="000000"/>
        </w:rPr>
        <w:t>C’est comme ça que je t’aime</w:t>
      </w:r>
      <w:r w:rsidR="00EF4779">
        <w:rPr>
          <w:rFonts w:ascii="Arial" w:hAnsi="Arial" w:cs="Arial"/>
          <w:b/>
          <w:i/>
          <w:color w:val="000000"/>
        </w:rPr>
        <w:t xml:space="preserve"> </w:t>
      </w:r>
    </w:p>
    <w:p w14:paraId="31D896AC" w14:textId="14D17D50" w:rsidR="0006703E" w:rsidRDefault="0006703E" w:rsidP="0006703E">
      <w:pPr>
        <w:jc w:val="both"/>
        <w:rPr>
          <w:rFonts w:ascii="Arial" w:hAnsi="Arial" w:cs="Arial"/>
          <w:color w:val="000000"/>
        </w:rPr>
      </w:pPr>
      <w:r>
        <w:rPr>
          <w:rFonts w:ascii="Arial" w:hAnsi="Arial" w:cs="Arial"/>
          <w:color w:val="000000"/>
        </w:rPr>
        <w:t>L</w:t>
      </w:r>
      <w:r w:rsidRPr="00012523">
        <w:rPr>
          <w:rFonts w:ascii="Arial" w:hAnsi="Arial" w:cs="Arial"/>
          <w:color w:val="000000"/>
        </w:rPr>
        <w:t xml:space="preserve">a </w:t>
      </w:r>
      <w:r w:rsidR="00EF4779">
        <w:rPr>
          <w:rFonts w:ascii="Arial" w:hAnsi="Arial" w:cs="Arial"/>
          <w:color w:val="000000"/>
        </w:rPr>
        <w:t>série télévisée</w:t>
      </w:r>
      <w:r w:rsidRPr="00012523">
        <w:rPr>
          <w:rFonts w:ascii="Arial" w:hAnsi="Arial" w:cs="Arial"/>
          <w:color w:val="000000"/>
        </w:rPr>
        <w:t xml:space="preserve"> </w:t>
      </w:r>
      <w:r w:rsidRPr="00012523">
        <w:rPr>
          <w:rFonts w:ascii="Arial" w:hAnsi="Arial" w:cs="Arial"/>
          <w:i/>
          <w:color w:val="000000"/>
        </w:rPr>
        <w:t>C’est comme ça que je t’aime</w:t>
      </w:r>
      <w:r w:rsidRPr="00012523">
        <w:rPr>
          <w:rFonts w:ascii="Arial" w:hAnsi="Arial" w:cs="Arial"/>
          <w:color w:val="000000"/>
        </w:rPr>
        <w:t xml:space="preserve"> (</w:t>
      </w:r>
      <w:proofErr w:type="spellStart"/>
      <w:r w:rsidRPr="00E71917">
        <w:rPr>
          <w:rFonts w:ascii="Arial" w:hAnsi="Arial" w:cs="Arial"/>
          <w:i/>
          <w:color w:val="000000"/>
        </w:rPr>
        <w:t>Happily</w:t>
      </w:r>
      <w:proofErr w:type="spellEnd"/>
      <w:r w:rsidRPr="00E71917">
        <w:rPr>
          <w:rFonts w:ascii="Arial" w:hAnsi="Arial" w:cs="Arial"/>
          <w:i/>
          <w:color w:val="000000"/>
        </w:rPr>
        <w:t xml:space="preserve"> Married</w:t>
      </w:r>
      <w:r w:rsidRPr="00012523">
        <w:rPr>
          <w:rFonts w:ascii="Arial" w:hAnsi="Arial" w:cs="Arial"/>
          <w:color w:val="000000"/>
        </w:rPr>
        <w:t xml:space="preserve"> en version anglaise) connaît un grand succès à l’international</w:t>
      </w:r>
      <w:r w:rsidR="003A5E05">
        <w:rPr>
          <w:rFonts w:ascii="Arial" w:hAnsi="Arial" w:cs="Arial"/>
          <w:color w:val="000000"/>
        </w:rPr>
        <w:t> </w:t>
      </w:r>
      <w:r w:rsidRPr="00012523">
        <w:rPr>
          <w:rFonts w:ascii="Arial" w:hAnsi="Arial" w:cs="Arial"/>
          <w:color w:val="000000"/>
        </w:rPr>
        <w:t xml:space="preserve">: elle est la première série canadienne à faire partie de la sélection dans Hot </w:t>
      </w:r>
      <w:proofErr w:type="spellStart"/>
      <w:r w:rsidRPr="00012523">
        <w:rPr>
          <w:rFonts w:ascii="Arial" w:hAnsi="Arial" w:cs="Arial"/>
          <w:color w:val="000000"/>
        </w:rPr>
        <w:t>Properties</w:t>
      </w:r>
      <w:proofErr w:type="spellEnd"/>
      <w:r w:rsidRPr="00012523">
        <w:rPr>
          <w:rFonts w:ascii="Arial" w:hAnsi="Arial" w:cs="Arial"/>
          <w:color w:val="000000"/>
        </w:rPr>
        <w:t xml:space="preserve"> de Content London (en 2019), où sa participation a été soutenue par un démarchage de la SODEC, et à la Berlinale (en 2020). La série a été achetée par une plateforme française (SALTO) et américaine (Topic). Des discussions ont lieu pour une adaptation en anglais. Elle pourra être vue sur des plateformes dans le reste du Canada (CBC Gem), en Allemagne </w:t>
      </w:r>
      <w:r w:rsidRPr="00012523">
        <w:rPr>
          <w:rFonts w:ascii="Arial" w:hAnsi="Arial" w:cs="Arial"/>
          <w:color w:val="000000"/>
        </w:rPr>
        <w:lastRenderedPageBreak/>
        <w:t>(</w:t>
      </w:r>
      <w:proofErr w:type="spellStart"/>
      <w:r w:rsidRPr="00012523">
        <w:rPr>
          <w:rFonts w:ascii="Arial" w:hAnsi="Arial" w:cs="Arial"/>
          <w:color w:val="000000"/>
        </w:rPr>
        <w:t>ProSieben</w:t>
      </w:r>
      <w:proofErr w:type="spellEnd"/>
      <w:r w:rsidRPr="00012523">
        <w:rPr>
          <w:rFonts w:ascii="Arial" w:hAnsi="Arial" w:cs="Arial"/>
          <w:color w:val="000000"/>
        </w:rPr>
        <w:t>) et dans les pays scandinaves (Nordic). Une entente vient d’être conclue avec Disney+ Star pour les pays du Benelux. Des discussions ont lieu pour une adap</w:t>
      </w:r>
      <w:r>
        <w:rPr>
          <w:rFonts w:ascii="Arial" w:hAnsi="Arial" w:cs="Arial"/>
          <w:color w:val="000000"/>
        </w:rPr>
        <w:t xml:space="preserve">tation du format en anglais aux </w:t>
      </w:r>
      <w:r w:rsidRPr="00012523">
        <w:rPr>
          <w:rFonts w:ascii="Arial" w:hAnsi="Arial" w:cs="Arial"/>
          <w:color w:val="000000"/>
        </w:rPr>
        <w:t>États-Unis. La série vient de recevoir en juin le prix Rogers du</w:t>
      </w:r>
      <w:r w:rsidR="003A5E05">
        <w:rPr>
          <w:rFonts w:ascii="Arial" w:hAnsi="Arial" w:cs="Arial"/>
          <w:color w:val="000000"/>
        </w:rPr>
        <w:t> </w:t>
      </w:r>
      <w:r w:rsidRPr="00012523">
        <w:rPr>
          <w:rFonts w:ascii="Arial" w:hAnsi="Arial" w:cs="Arial"/>
          <w:color w:val="000000"/>
        </w:rPr>
        <w:t xml:space="preserve">2021 </w:t>
      </w:r>
      <w:proofErr w:type="spellStart"/>
      <w:r w:rsidRPr="00012523">
        <w:rPr>
          <w:rFonts w:ascii="Arial" w:hAnsi="Arial" w:cs="Arial"/>
          <w:i/>
          <w:iCs/>
          <w:color w:val="000000"/>
        </w:rPr>
        <w:t>Rockie</w:t>
      </w:r>
      <w:proofErr w:type="spellEnd"/>
      <w:r w:rsidRPr="00012523">
        <w:rPr>
          <w:rFonts w:ascii="Arial" w:hAnsi="Arial" w:cs="Arial"/>
          <w:i/>
          <w:iCs/>
          <w:color w:val="000000"/>
        </w:rPr>
        <w:t xml:space="preserve"> Awards International Program </w:t>
      </w:r>
      <w:proofErr w:type="spellStart"/>
      <w:r w:rsidRPr="00012523">
        <w:rPr>
          <w:rFonts w:ascii="Arial" w:hAnsi="Arial" w:cs="Arial"/>
          <w:i/>
          <w:iCs/>
          <w:color w:val="000000"/>
        </w:rPr>
        <w:t>Competition</w:t>
      </w:r>
      <w:proofErr w:type="spellEnd"/>
      <w:r w:rsidRPr="00012523">
        <w:rPr>
          <w:rFonts w:ascii="Arial" w:hAnsi="Arial" w:cs="Arial"/>
          <w:color w:val="000000"/>
        </w:rPr>
        <w:t xml:space="preserve"> pour l’excellence du contenu canadien.</w:t>
      </w:r>
    </w:p>
    <w:p w14:paraId="5D190299" w14:textId="1B0669E0" w:rsidR="0006703E" w:rsidRDefault="0006703E">
      <w:pPr>
        <w:spacing w:after="160" w:line="259" w:lineRule="auto"/>
        <w:rPr>
          <w:rFonts w:ascii="Arial" w:hAnsi="Arial" w:cs="Arial"/>
          <w:b/>
          <w:bCs/>
          <w:color w:val="000000"/>
        </w:rPr>
      </w:pPr>
      <w:r>
        <w:rPr>
          <w:rFonts w:ascii="Arial" w:hAnsi="Arial" w:cs="Arial"/>
          <w:b/>
          <w:bCs/>
          <w:color w:val="000000"/>
        </w:rPr>
        <w:br w:type="page"/>
      </w:r>
    </w:p>
    <w:p w14:paraId="6018886B" w14:textId="77777777" w:rsidR="00ED0C29" w:rsidRDefault="00ED0C29">
      <w:pPr>
        <w:spacing w:after="160" w:line="259" w:lineRule="auto"/>
        <w:rPr>
          <w:rFonts w:ascii="Arial" w:hAnsi="Arial" w:cs="Arial"/>
          <w:b/>
          <w:bCs/>
          <w:color w:val="000000"/>
        </w:rPr>
      </w:pPr>
    </w:p>
    <w:p w14:paraId="238597AD" w14:textId="77777777" w:rsidR="006F6515" w:rsidRPr="004412A1" w:rsidRDefault="006F6515" w:rsidP="006F6515">
      <w:pPr>
        <w:jc w:val="both"/>
        <w:rPr>
          <w:rFonts w:ascii="Arial" w:hAnsi="Arial" w:cs="Arial"/>
          <w:b/>
          <w:bCs/>
          <w:color w:val="000000"/>
        </w:rPr>
      </w:pPr>
      <w:r w:rsidRPr="004412A1">
        <w:rPr>
          <w:rFonts w:ascii="Arial" w:hAnsi="Arial" w:cs="Arial"/>
          <w:b/>
          <w:bCs/>
          <w:color w:val="000000"/>
        </w:rPr>
        <w:t>Évolution des programmes d’aide de la SODEC en cinéma et en production télévisuelle </w:t>
      </w:r>
    </w:p>
    <w:p w14:paraId="5718977F" w14:textId="77777777" w:rsidR="006F6515" w:rsidRPr="004412A1" w:rsidRDefault="006F6515" w:rsidP="006F6515">
      <w:pPr>
        <w:autoSpaceDE w:val="0"/>
        <w:autoSpaceDN w:val="0"/>
        <w:adjustRightInd w:val="0"/>
        <w:snapToGrid w:val="0"/>
        <w:jc w:val="both"/>
        <w:rPr>
          <w:rFonts w:ascii="Arial" w:hAnsi="Arial" w:cs="Arial"/>
          <w:b/>
          <w:bCs/>
          <w:color w:val="000000"/>
        </w:rPr>
      </w:pPr>
    </w:p>
    <w:tbl>
      <w:tblPr>
        <w:tblStyle w:val="Tableausimple1"/>
        <w:tblW w:w="0" w:type="auto"/>
        <w:jc w:val="center"/>
        <w:tblLook w:val="04A0" w:firstRow="1" w:lastRow="0" w:firstColumn="1" w:lastColumn="0" w:noHBand="0" w:noVBand="1"/>
      </w:tblPr>
      <w:tblGrid>
        <w:gridCol w:w="3232"/>
        <w:gridCol w:w="1048"/>
        <w:gridCol w:w="1486"/>
        <w:gridCol w:w="972"/>
        <w:gridCol w:w="1892"/>
      </w:tblGrid>
      <w:tr w:rsidR="006F6515" w:rsidRPr="004412A1" w14:paraId="2D0BB534" w14:textId="77777777" w:rsidTr="007009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578C032" w14:textId="77777777" w:rsidR="006F6515" w:rsidRPr="004412A1" w:rsidRDefault="006F6515" w:rsidP="007009CA">
            <w:pPr>
              <w:autoSpaceDE w:val="0"/>
              <w:autoSpaceDN w:val="0"/>
              <w:adjustRightInd w:val="0"/>
              <w:snapToGrid w:val="0"/>
              <w:jc w:val="both"/>
              <w:rPr>
                <w:rFonts w:ascii="Arial" w:hAnsi="Arial" w:cs="Arial"/>
                <w:b w:val="0"/>
                <w:bCs w:val="0"/>
                <w:color w:val="000000"/>
              </w:rPr>
            </w:pPr>
          </w:p>
        </w:tc>
        <w:tc>
          <w:tcPr>
            <w:tcW w:w="0" w:type="auto"/>
            <w:gridSpan w:val="2"/>
            <w:hideMark/>
          </w:tcPr>
          <w:p w14:paraId="64722EEE" w14:textId="77777777" w:rsidR="006F6515" w:rsidRPr="004412A1" w:rsidRDefault="006F6515" w:rsidP="007009CA">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4412A1">
              <w:rPr>
                <w:rFonts w:ascii="Arial" w:hAnsi="Arial" w:cs="Arial"/>
                <w:b w:val="0"/>
                <w:bCs w:val="0"/>
                <w:color w:val="000000"/>
              </w:rPr>
              <w:t>2019-2020</w:t>
            </w:r>
          </w:p>
        </w:tc>
        <w:tc>
          <w:tcPr>
            <w:tcW w:w="0" w:type="auto"/>
            <w:gridSpan w:val="2"/>
            <w:hideMark/>
          </w:tcPr>
          <w:p w14:paraId="0B7F4877" w14:textId="77777777" w:rsidR="006F6515" w:rsidRPr="004412A1" w:rsidRDefault="006F6515" w:rsidP="007009CA">
            <w:pPr>
              <w:autoSpaceDE w:val="0"/>
              <w:autoSpaceDN w:val="0"/>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4412A1">
              <w:rPr>
                <w:rFonts w:ascii="Arial" w:hAnsi="Arial" w:cs="Arial"/>
                <w:b w:val="0"/>
                <w:bCs w:val="0"/>
                <w:color w:val="000000"/>
              </w:rPr>
              <w:t>2020-2021</w:t>
            </w:r>
          </w:p>
        </w:tc>
      </w:tr>
      <w:tr w:rsidR="006F6515" w:rsidRPr="004412A1" w14:paraId="74706330" w14:textId="77777777" w:rsidTr="0070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53359AB" w14:textId="77777777" w:rsidR="006F6515" w:rsidRPr="004412A1" w:rsidRDefault="006F6515" w:rsidP="007009CA">
            <w:pPr>
              <w:autoSpaceDE w:val="0"/>
              <w:autoSpaceDN w:val="0"/>
              <w:adjustRightInd w:val="0"/>
              <w:snapToGrid w:val="0"/>
              <w:jc w:val="both"/>
              <w:rPr>
                <w:rFonts w:ascii="Arial" w:hAnsi="Arial" w:cs="Arial"/>
                <w:b w:val="0"/>
                <w:bCs w:val="0"/>
                <w:color w:val="000000"/>
              </w:rPr>
            </w:pPr>
            <w:r w:rsidRPr="004412A1">
              <w:rPr>
                <w:rFonts w:ascii="Arial" w:hAnsi="Arial" w:cs="Arial"/>
                <w:b w:val="0"/>
                <w:bCs w:val="0"/>
                <w:color w:val="000000"/>
              </w:rPr>
              <w:t>Programme d’aide</w:t>
            </w:r>
          </w:p>
        </w:tc>
        <w:tc>
          <w:tcPr>
            <w:tcW w:w="0" w:type="auto"/>
            <w:hideMark/>
          </w:tcPr>
          <w:p w14:paraId="0E03BD6E" w14:textId="77777777" w:rsidR="006F6515" w:rsidRPr="004412A1" w:rsidRDefault="006F6515" w:rsidP="007009CA">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Nombre</w:t>
            </w:r>
          </w:p>
        </w:tc>
        <w:tc>
          <w:tcPr>
            <w:tcW w:w="0" w:type="auto"/>
            <w:hideMark/>
          </w:tcPr>
          <w:p w14:paraId="4086E34D" w14:textId="77777777" w:rsidR="006F6515" w:rsidRPr="004412A1" w:rsidRDefault="006F6515" w:rsidP="007009CA">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Montant</w:t>
            </w:r>
          </w:p>
        </w:tc>
        <w:tc>
          <w:tcPr>
            <w:tcW w:w="649" w:type="dxa"/>
            <w:hideMark/>
          </w:tcPr>
          <w:p w14:paraId="11CADF9C" w14:textId="77777777" w:rsidR="006F6515" w:rsidRPr="004412A1" w:rsidRDefault="006F6515" w:rsidP="007009CA">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Nombre</w:t>
            </w:r>
          </w:p>
        </w:tc>
        <w:tc>
          <w:tcPr>
            <w:tcW w:w="1892" w:type="dxa"/>
            <w:hideMark/>
          </w:tcPr>
          <w:p w14:paraId="2EF126F5" w14:textId="77777777" w:rsidR="006F6515" w:rsidRPr="004412A1" w:rsidRDefault="006F6515" w:rsidP="007009CA">
            <w:pPr>
              <w:autoSpaceDE w:val="0"/>
              <w:autoSpaceDN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Montant</w:t>
            </w:r>
          </w:p>
        </w:tc>
      </w:tr>
      <w:tr w:rsidR="006F6515" w:rsidRPr="004412A1" w14:paraId="20CA343F" w14:textId="77777777" w:rsidTr="007009C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69A0EA4" w14:textId="77777777" w:rsidR="006F6515" w:rsidRPr="004412A1" w:rsidRDefault="006F6515" w:rsidP="007009CA">
            <w:pPr>
              <w:autoSpaceDE w:val="0"/>
              <w:autoSpaceDN w:val="0"/>
              <w:adjustRightInd w:val="0"/>
              <w:snapToGrid w:val="0"/>
              <w:jc w:val="both"/>
              <w:rPr>
                <w:rFonts w:ascii="Arial" w:hAnsi="Arial" w:cs="Arial"/>
                <w:b w:val="0"/>
                <w:bCs w:val="0"/>
                <w:color w:val="000000"/>
              </w:rPr>
            </w:pPr>
            <w:r w:rsidRPr="004412A1">
              <w:rPr>
                <w:rFonts w:ascii="Arial" w:hAnsi="Arial" w:cs="Arial"/>
                <w:b w:val="0"/>
                <w:bCs w:val="0"/>
                <w:color w:val="000000"/>
              </w:rPr>
              <w:t>Développement (anciennement scénarisation)</w:t>
            </w:r>
          </w:p>
        </w:tc>
        <w:tc>
          <w:tcPr>
            <w:tcW w:w="1048" w:type="dxa"/>
            <w:hideMark/>
          </w:tcPr>
          <w:p w14:paraId="2F307A21"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39</w:t>
            </w:r>
          </w:p>
        </w:tc>
        <w:tc>
          <w:tcPr>
            <w:tcW w:w="1486" w:type="dxa"/>
            <w:hideMark/>
          </w:tcPr>
          <w:p w14:paraId="71CA0194"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1 886 110 $</w:t>
            </w:r>
          </w:p>
        </w:tc>
        <w:tc>
          <w:tcPr>
            <w:tcW w:w="649" w:type="dxa"/>
            <w:hideMark/>
          </w:tcPr>
          <w:p w14:paraId="6DAB7071"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53</w:t>
            </w:r>
          </w:p>
        </w:tc>
        <w:tc>
          <w:tcPr>
            <w:tcW w:w="1892" w:type="dxa"/>
            <w:hideMark/>
          </w:tcPr>
          <w:p w14:paraId="65058B9F"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2 874 657 $</w:t>
            </w:r>
          </w:p>
        </w:tc>
      </w:tr>
      <w:tr w:rsidR="006F6515" w:rsidRPr="004412A1" w14:paraId="1215130B" w14:textId="77777777" w:rsidTr="0070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843146E" w14:textId="77777777" w:rsidR="006F6515" w:rsidRPr="004412A1" w:rsidRDefault="006F6515" w:rsidP="003A5E05">
            <w:pPr>
              <w:autoSpaceDE w:val="0"/>
              <w:autoSpaceDN w:val="0"/>
              <w:adjustRightInd w:val="0"/>
              <w:snapToGrid w:val="0"/>
              <w:jc w:val="both"/>
              <w:rPr>
                <w:rFonts w:ascii="Arial" w:hAnsi="Arial" w:cs="Arial"/>
                <w:color w:val="000000"/>
              </w:rPr>
            </w:pPr>
            <w:r w:rsidRPr="004412A1">
              <w:rPr>
                <w:rFonts w:ascii="Arial" w:hAnsi="Arial" w:cs="Arial"/>
                <w:b w:val="0"/>
                <w:bCs w:val="0"/>
                <w:color w:val="000000"/>
              </w:rPr>
              <w:t>Production (</w:t>
            </w:r>
            <w:r w:rsidR="003A5E05">
              <w:rPr>
                <w:rFonts w:ascii="Arial" w:hAnsi="Arial" w:cs="Arial"/>
                <w:b w:val="0"/>
                <w:bCs w:val="0"/>
                <w:color w:val="000000"/>
              </w:rPr>
              <w:t>3 </w:t>
            </w:r>
            <w:r w:rsidRPr="004412A1">
              <w:rPr>
                <w:rFonts w:ascii="Arial" w:hAnsi="Arial" w:cs="Arial"/>
                <w:b w:val="0"/>
                <w:bCs w:val="0"/>
                <w:color w:val="000000"/>
              </w:rPr>
              <w:t>volets)</w:t>
            </w:r>
          </w:p>
        </w:tc>
        <w:tc>
          <w:tcPr>
            <w:tcW w:w="0" w:type="auto"/>
            <w:hideMark/>
          </w:tcPr>
          <w:p w14:paraId="107374A4"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67</w:t>
            </w:r>
          </w:p>
        </w:tc>
        <w:tc>
          <w:tcPr>
            <w:tcW w:w="0" w:type="auto"/>
            <w:hideMark/>
          </w:tcPr>
          <w:p w14:paraId="384E5F4A"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22 682 700 $</w:t>
            </w:r>
          </w:p>
        </w:tc>
        <w:tc>
          <w:tcPr>
            <w:tcW w:w="649" w:type="dxa"/>
            <w:hideMark/>
          </w:tcPr>
          <w:p w14:paraId="31AA7E10"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65</w:t>
            </w:r>
          </w:p>
        </w:tc>
        <w:tc>
          <w:tcPr>
            <w:tcW w:w="1892" w:type="dxa"/>
            <w:hideMark/>
          </w:tcPr>
          <w:p w14:paraId="74B30007"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41 035 456 $</w:t>
            </w:r>
          </w:p>
        </w:tc>
      </w:tr>
      <w:tr w:rsidR="006F6515" w:rsidRPr="004412A1" w14:paraId="76F330AB" w14:textId="77777777" w:rsidTr="007009C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884245" w14:textId="77777777" w:rsidR="006F6515" w:rsidRPr="004412A1" w:rsidRDefault="006F6515" w:rsidP="003A5E05">
            <w:pPr>
              <w:autoSpaceDE w:val="0"/>
              <w:autoSpaceDN w:val="0"/>
              <w:adjustRightInd w:val="0"/>
              <w:snapToGrid w:val="0"/>
              <w:jc w:val="both"/>
              <w:rPr>
                <w:rFonts w:ascii="Arial" w:hAnsi="Arial" w:cs="Arial"/>
                <w:color w:val="000000"/>
              </w:rPr>
            </w:pPr>
            <w:r w:rsidRPr="004412A1">
              <w:rPr>
                <w:rFonts w:ascii="Arial" w:hAnsi="Arial" w:cs="Arial"/>
                <w:b w:val="0"/>
                <w:bCs w:val="0"/>
                <w:color w:val="000000"/>
              </w:rPr>
              <w:t>Promotion et diffusion (</w:t>
            </w:r>
            <w:r w:rsidR="003A5E05">
              <w:rPr>
                <w:rFonts w:ascii="Arial" w:hAnsi="Arial" w:cs="Arial"/>
                <w:b w:val="0"/>
                <w:bCs w:val="0"/>
                <w:color w:val="000000"/>
              </w:rPr>
              <w:t>4 </w:t>
            </w:r>
            <w:r w:rsidRPr="004412A1">
              <w:rPr>
                <w:rFonts w:ascii="Arial" w:hAnsi="Arial" w:cs="Arial"/>
                <w:b w:val="0"/>
                <w:bCs w:val="0"/>
                <w:color w:val="000000"/>
              </w:rPr>
              <w:t>volets)</w:t>
            </w:r>
          </w:p>
        </w:tc>
        <w:tc>
          <w:tcPr>
            <w:tcW w:w="0" w:type="auto"/>
            <w:hideMark/>
          </w:tcPr>
          <w:p w14:paraId="7F633086"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168</w:t>
            </w:r>
          </w:p>
        </w:tc>
        <w:tc>
          <w:tcPr>
            <w:tcW w:w="0" w:type="auto"/>
            <w:hideMark/>
          </w:tcPr>
          <w:p w14:paraId="1B496E42"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4 622 148 $</w:t>
            </w:r>
          </w:p>
        </w:tc>
        <w:tc>
          <w:tcPr>
            <w:tcW w:w="649" w:type="dxa"/>
            <w:hideMark/>
          </w:tcPr>
          <w:p w14:paraId="6B178AE7"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 xml:space="preserve">203 </w:t>
            </w:r>
          </w:p>
        </w:tc>
        <w:tc>
          <w:tcPr>
            <w:tcW w:w="1892" w:type="dxa"/>
            <w:hideMark/>
          </w:tcPr>
          <w:p w14:paraId="0138B137"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12 069 753 $</w:t>
            </w:r>
          </w:p>
        </w:tc>
      </w:tr>
      <w:tr w:rsidR="006F6515" w:rsidRPr="004412A1" w14:paraId="7D8077DB" w14:textId="77777777" w:rsidTr="0070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9EF7F8" w14:textId="77777777" w:rsidR="006F6515" w:rsidRPr="00EF4779" w:rsidRDefault="006F6515" w:rsidP="007009CA">
            <w:pPr>
              <w:autoSpaceDE w:val="0"/>
              <w:autoSpaceDN w:val="0"/>
              <w:adjustRightInd w:val="0"/>
              <w:snapToGrid w:val="0"/>
              <w:jc w:val="both"/>
              <w:rPr>
                <w:rFonts w:ascii="Arial" w:hAnsi="Arial" w:cs="Arial"/>
                <w:b w:val="0"/>
                <w:bCs w:val="0"/>
                <w:color w:val="000000"/>
              </w:rPr>
            </w:pPr>
            <w:r w:rsidRPr="00EF4779">
              <w:rPr>
                <w:rFonts w:ascii="Arial" w:hAnsi="Arial" w:cs="Arial"/>
                <w:b w:val="0"/>
                <w:bCs w:val="0"/>
                <w:color w:val="000000"/>
              </w:rPr>
              <w:t>Jeunes créateurs</w:t>
            </w:r>
          </w:p>
        </w:tc>
        <w:tc>
          <w:tcPr>
            <w:tcW w:w="0" w:type="auto"/>
          </w:tcPr>
          <w:p w14:paraId="6F9BE764"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19</w:t>
            </w:r>
          </w:p>
        </w:tc>
        <w:tc>
          <w:tcPr>
            <w:tcW w:w="0" w:type="auto"/>
          </w:tcPr>
          <w:p w14:paraId="4B08E2A9"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1 381 500 $</w:t>
            </w:r>
          </w:p>
        </w:tc>
        <w:tc>
          <w:tcPr>
            <w:tcW w:w="649" w:type="dxa"/>
          </w:tcPr>
          <w:p w14:paraId="2EEC46A3"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7</w:t>
            </w:r>
          </w:p>
        </w:tc>
        <w:tc>
          <w:tcPr>
            <w:tcW w:w="1892" w:type="dxa"/>
          </w:tcPr>
          <w:p w14:paraId="395E9B81"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69 950 $</w:t>
            </w:r>
          </w:p>
        </w:tc>
      </w:tr>
      <w:tr w:rsidR="006F6515" w:rsidRPr="004412A1" w14:paraId="6E3FD68E" w14:textId="77777777" w:rsidTr="007009C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82FE26" w14:textId="77777777" w:rsidR="006F6515" w:rsidRPr="004412A1" w:rsidRDefault="006F6515" w:rsidP="007009CA">
            <w:pPr>
              <w:autoSpaceDE w:val="0"/>
              <w:autoSpaceDN w:val="0"/>
              <w:adjustRightInd w:val="0"/>
              <w:snapToGrid w:val="0"/>
              <w:jc w:val="both"/>
              <w:rPr>
                <w:rFonts w:ascii="Arial" w:hAnsi="Arial" w:cs="Arial"/>
                <w:color w:val="000000"/>
              </w:rPr>
            </w:pPr>
            <w:r w:rsidRPr="004412A1">
              <w:rPr>
                <w:rFonts w:ascii="Arial" w:hAnsi="Arial" w:cs="Arial"/>
                <w:b w:val="0"/>
                <w:bCs w:val="0"/>
                <w:color w:val="000000"/>
              </w:rPr>
              <w:t>Création émergente</w:t>
            </w:r>
          </w:p>
        </w:tc>
        <w:tc>
          <w:tcPr>
            <w:tcW w:w="0" w:type="auto"/>
            <w:hideMark/>
          </w:tcPr>
          <w:p w14:paraId="705CDFBA"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34</w:t>
            </w:r>
          </w:p>
        </w:tc>
        <w:tc>
          <w:tcPr>
            <w:tcW w:w="0" w:type="auto"/>
            <w:hideMark/>
          </w:tcPr>
          <w:p w14:paraId="35FFE04D"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470 537 $</w:t>
            </w:r>
          </w:p>
        </w:tc>
        <w:tc>
          <w:tcPr>
            <w:tcW w:w="649" w:type="dxa"/>
            <w:hideMark/>
          </w:tcPr>
          <w:p w14:paraId="344CBC05"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43</w:t>
            </w:r>
          </w:p>
        </w:tc>
        <w:tc>
          <w:tcPr>
            <w:tcW w:w="1892" w:type="dxa"/>
            <w:hideMark/>
          </w:tcPr>
          <w:p w14:paraId="7ED5E1AE"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1 356 953 $</w:t>
            </w:r>
          </w:p>
        </w:tc>
      </w:tr>
      <w:tr w:rsidR="006F6515" w:rsidRPr="004412A1" w14:paraId="4423298A" w14:textId="77777777" w:rsidTr="0070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16F9A7" w14:textId="77777777" w:rsidR="006F6515" w:rsidRPr="004412A1" w:rsidRDefault="006F6515" w:rsidP="007009CA">
            <w:pPr>
              <w:autoSpaceDE w:val="0"/>
              <w:autoSpaceDN w:val="0"/>
              <w:adjustRightInd w:val="0"/>
              <w:snapToGrid w:val="0"/>
              <w:jc w:val="both"/>
              <w:rPr>
                <w:rFonts w:ascii="Arial" w:hAnsi="Arial" w:cs="Arial"/>
                <w:color w:val="000000"/>
              </w:rPr>
            </w:pPr>
            <w:r w:rsidRPr="004412A1">
              <w:rPr>
                <w:rFonts w:ascii="Arial" w:hAnsi="Arial" w:cs="Arial"/>
                <w:b w:val="0"/>
                <w:bCs w:val="0"/>
                <w:color w:val="000000"/>
              </w:rPr>
              <w:t>Prédéveloppement des séries télés québécoises, adaptation littéraire</w:t>
            </w:r>
          </w:p>
        </w:tc>
        <w:tc>
          <w:tcPr>
            <w:tcW w:w="0" w:type="auto"/>
          </w:tcPr>
          <w:p w14:paraId="66743D14"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0" w:type="auto"/>
          </w:tcPr>
          <w:p w14:paraId="14581810"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649" w:type="dxa"/>
            <w:hideMark/>
          </w:tcPr>
          <w:p w14:paraId="129FD197"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15</w:t>
            </w:r>
          </w:p>
        </w:tc>
        <w:tc>
          <w:tcPr>
            <w:tcW w:w="1892" w:type="dxa"/>
            <w:hideMark/>
          </w:tcPr>
          <w:p w14:paraId="1838550A"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249 904 $</w:t>
            </w:r>
          </w:p>
        </w:tc>
      </w:tr>
      <w:tr w:rsidR="006F6515" w:rsidRPr="004412A1" w14:paraId="73DE3F15" w14:textId="77777777" w:rsidTr="007009C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FD62DC" w14:textId="77777777" w:rsidR="006F6515" w:rsidRPr="004412A1" w:rsidRDefault="006F6515" w:rsidP="007009CA">
            <w:pPr>
              <w:autoSpaceDE w:val="0"/>
              <w:autoSpaceDN w:val="0"/>
              <w:adjustRightInd w:val="0"/>
              <w:snapToGrid w:val="0"/>
              <w:jc w:val="both"/>
              <w:rPr>
                <w:rFonts w:ascii="Arial" w:hAnsi="Arial" w:cs="Arial"/>
                <w:color w:val="000000"/>
              </w:rPr>
            </w:pPr>
            <w:r w:rsidRPr="004412A1">
              <w:rPr>
                <w:rFonts w:ascii="Arial" w:hAnsi="Arial" w:cs="Arial"/>
                <w:b w:val="0"/>
                <w:bCs w:val="0"/>
                <w:color w:val="000000"/>
              </w:rPr>
              <w:t>Bonification des valeurs de production des séries télé québécoises</w:t>
            </w:r>
          </w:p>
        </w:tc>
        <w:tc>
          <w:tcPr>
            <w:tcW w:w="0" w:type="auto"/>
          </w:tcPr>
          <w:p w14:paraId="7AC64F96"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0" w:type="auto"/>
          </w:tcPr>
          <w:p w14:paraId="24E81A24"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649" w:type="dxa"/>
            <w:hideMark/>
          </w:tcPr>
          <w:p w14:paraId="773F993D"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18</w:t>
            </w:r>
          </w:p>
        </w:tc>
        <w:tc>
          <w:tcPr>
            <w:tcW w:w="1892" w:type="dxa"/>
            <w:hideMark/>
          </w:tcPr>
          <w:p w14:paraId="5DE6A1E9"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10 087 892 $</w:t>
            </w:r>
          </w:p>
        </w:tc>
      </w:tr>
      <w:tr w:rsidR="006F6515" w:rsidRPr="004412A1" w14:paraId="11D1D727" w14:textId="77777777" w:rsidTr="0070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2707DC" w14:textId="77777777" w:rsidR="006F6515" w:rsidRPr="004412A1" w:rsidRDefault="006F6515" w:rsidP="003A5E05">
            <w:pPr>
              <w:autoSpaceDE w:val="0"/>
              <w:autoSpaceDN w:val="0"/>
              <w:adjustRightInd w:val="0"/>
              <w:snapToGrid w:val="0"/>
              <w:jc w:val="both"/>
              <w:rPr>
                <w:rFonts w:ascii="Arial" w:hAnsi="Arial" w:cs="Arial"/>
                <w:color w:val="000000"/>
              </w:rPr>
            </w:pPr>
            <w:r w:rsidRPr="004412A1">
              <w:rPr>
                <w:rFonts w:ascii="Arial" w:hAnsi="Arial" w:cs="Arial"/>
                <w:b w:val="0"/>
                <w:bCs w:val="0"/>
                <w:color w:val="000000"/>
              </w:rPr>
              <w:t>Temporaire dans le secteur audiovisuel (</w:t>
            </w:r>
            <w:r w:rsidR="003A5E05">
              <w:rPr>
                <w:rFonts w:ascii="Arial" w:hAnsi="Arial" w:cs="Arial"/>
                <w:b w:val="0"/>
                <w:bCs w:val="0"/>
                <w:color w:val="000000"/>
              </w:rPr>
              <w:t>2 </w:t>
            </w:r>
            <w:r w:rsidRPr="004412A1">
              <w:rPr>
                <w:rFonts w:ascii="Arial" w:hAnsi="Arial" w:cs="Arial"/>
                <w:b w:val="0"/>
                <w:bCs w:val="0"/>
                <w:color w:val="000000"/>
              </w:rPr>
              <w:t>volets)</w:t>
            </w:r>
          </w:p>
        </w:tc>
        <w:tc>
          <w:tcPr>
            <w:tcW w:w="0" w:type="auto"/>
          </w:tcPr>
          <w:p w14:paraId="646546E1"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0" w:type="auto"/>
          </w:tcPr>
          <w:p w14:paraId="1C5D1C47"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649" w:type="dxa"/>
            <w:hideMark/>
          </w:tcPr>
          <w:p w14:paraId="3B1290E8"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370</w:t>
            </w:r>
          </w:p>
        </w:tc>
        <w:tc>
          <w:tcPr>
            <w:tcW w:w="1892" w:type="dxa"/>
            <w:hideMark/>
          </w:tcPr>
          <w:p w14:paraId="524DE833"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412A1">
              <w:rPr>
                <w:rFonts w:ascii="Arial" w:hAnsi="Arial" w:cs="Arial"/>
                <w:color w:val="000000"/>
              </w:rPr>
              <w:t>49 761 408 $</w:t>
            </w:r>
          </w:p>
        </w:tc>
      </w:tr>
      <w:tr w:rsidR="006F6515" w:rsidRPr="004412A1" w14:paraId="0379EA07" w14:textId="77777777" w:rsidTr="007009C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37B8DA" w14:textId="77777777" w:rsidR="006F6515" w:rsidRPr="00EF4779" w:rsidRDefault="006F6515" w:rsidP="007009CA">
            <w:pPr>
              <w:autoSpaceDE w:val="0"/>
              <w:autoSpaceDN w:val="0"/>
              <w:adjustRightInd w:val="0"/>
              <w:snapToGrid w:val="0"/>
              <w:jc w:val="both"/>
              <w:rPr>
                <w:rFonts w:ascii="Arial" w:hAnsi="Arial" w:cs="Arial"/>
                <w:b w:val="0"/>
                <w:bCs w:val="0"/>
                <w:color w:val="000000"/>
              </w:rPr>
            </w:pPr>
            <w:r w:rsidRPr="00EF4779">
              <w:rPr>
                <w:rFonts w:ascii="Arial" w:hAnsi="Arial" w:cs="Arial"/>
                <w:b w:val="0"/>
                <w:bCs w:val="0"/>
                <w:color w:val="000000"/>
              </w:rPr>
              <w:t>Exportation et rayonnement culturel en cinéma et production télévisuelle</w:t>
            </w:r>
          </w:p>
        </w:tc>
        <w:tc>
          <w:tcPr>
            <w:tcW w:w="0" w:type="auto"/>
          </w:tcPr>
          <w:p w14:paraId="06BB5A31"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195</w:t>
            </w:r>
          </w:p>
        </w:tc>
        <w:tc>
          <w:tcPr>
            <w:tcW w:w="0" w:type="auto"/>
          </w:tcPr>
          <w:p w14:paraId="5C7FB8DB"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2 532 794 $</w:t>
            </w:r>
          </w:p>
        </w:tc>
        <w:tc>
          <w:tcPr>
            <w:tcW w:w="649" w:type="dxa"/>
          </w:tcPr>
          <w:p w14:paraId="2AE38619" w14:textId="77777777" w:rsidR="006F6515" w:rsidRPr="004412A1" w:rsidRDefault="006F6515" w:rsidP="007009CA">
            <w:pPr>
              <w:autoSpaceDE w:val="0"/>
              <w:autoSpaceDN w:val="0"/>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70</w:t>
            </w:r>
          </w:p>
        </w:tc>
        <w:tc>
          <w:tcPr>
            <w:tcW w:w="1892" w:type="dxa"/>
          </w:tcPr>
          <w:p w14:paraId="759C2D11" w14:textId="77777777" w:rsidR="006F6515" w:rsidRPr="004412A1" w:rsidRDefault="006F6515" w:rsidP="007009CA">
            <w:pPr>
              <w:autoSpaceDE w:val="0"/>
              <w:autoSpaceDN w:val="0"/>
              <w:adjustRightInd w:val="0"/>
              <w:snapToGrid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412A1">
              <w:rPr>
                <w:rFonts w:ascii="Arial" w:hAnsi="Arial" w:cs="Arial"/>
                <w:color w:val="000000"/>
              </w:rPr>
              <w:t>1 396 865 $</w:t>
            </w:r>
          </w:p>
        </w:tc>
      </w:tr>
      <w:tr w:rsidR="006F6515" w:rsidRPr="004412A1" w14:paraId="1BF0CAF2" w14:textId="77777777" w:rsidTr="0070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713C3F7" w14:textId="77777777" w:rsidR="006F6515" w:rsidRPr="004412A1" w:rsidRDefault="006F6515" w:rsidP="007009CA">
            <w:pPr>
              <w:autoSpaceDE w:val="0"/>
              <w:autoSpaceDN w:val="0"/>
              <w:adjustRightInd w:val="0"/>
              <w:snapToGrid w:val="0"/>
              <w:jc w:val="both"/>
              <w:rPr>
                <w:rFonts w:ascii="Arial" w:hAnsi="Arial" w:cs="Arial"/>
                <w:color w:val="000000"/>
              </w:rPr>
            </w:pPr>
            <w:r w:rsidRPr="004412A1">
              <w:rPr>
                <w:rFonts w:ascii="Arial" w:hAnsi="Arial" w:cs="Arial"/>
                <w:bCs w:val="0"/>
                <w:color w:val="000000"/>
              </w:rPr>
              <w:t>Total</w:t>
            </w:r>
          </w:p>
        </w:tc>
        <w:tc>
          <w:tcPr>
            <w:tcW w:w="0" w:type="auto"/>
            <w:hideMark/>
          </w:tcPr>
          <w:p w14:paraId="4C51C820"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327</w:t>
            </w:r>
          </w:p>
        </w:tc>
        <w:tc>
          <w:tcPr>
            <w:tcW w:w="0" w:type="auto"/>
            <w:hideMark/>
          </w:tcPr>
          <w:p w14:paraId="787754F4"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33 575 789</w:t>
            </w:r>
            <w:r w:rsidR="003A5E05">
              <w:rPr>
                <w:rFonts w:ascii="Arial" w:hAnsi="Arial" w:cs="Arial"/>
                <w:b/>
                <w:bCs/>
                <w:color w:val="000000"/>
              </w:rPr>
              <w:t> </w:t>
            </w:r>
            <w:r w:rsidRPr="004412A1">
              <w:rPr>
                <w:rFonts w:ascii="Arial" w:hAnsi="Arial" w:cs="Arial"/>
                <w:b/>
                <w:bCs/>
                <w:color w:val="000000"/>
              </w:rPr>
              <w:t>$</w:t>
            </w:r>
          </w:p>
        </w:tc>
        <w:tc>
          <w:tcPr>
            <w:tcW w:w="649" w:type="dxa"/>
            <w:hideMark/>
          </w:tcPr>
          <w:p w14:paraId="150312F9" w14:textId="77777777" w:rsidR="006F6515" w:rsidRPr="004412A1" w:rsidRDefault="006F6515" w:rsidP="007009CA">
            <w:pPr>
              <w:autoSpaceDE w:val="0"/>
              <w:autoSpaceDN w:val="0"/>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774</w:t>
            </w:r>
          </w:p>
        </w:tc>
        <w:tc>
          <w:tcPr>
            <w:tcW w:w="1892" w:type="dxa"/>
            <w:hideMark/>
          </w:tcPr>
          <w:p w14:paraId="31FB9786" w14:textId="77777777" w:rsidR="006F6515" w:rsidRPr="004412A1" w:rsidRDefault="006F6515" w:rsidP="007009CA">
            <w:pPr>
              <w:autoSpaceDE w:val="0"/>
              <w:autoSpaceDN w:val="0"/>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412A1">
              <w:rPr>
                <w:rFonts w:ascii="Arial" w:hAnsi="Arial" w:cs="Arial"/>
                <w:b/>
                <w:bCs/>
                <w:color w:val="000000"/>
              </w:rPr>
              <w:t>118 902 928</w:t>
            </w:r>
            <w:r w:rsidR="003A5E05">
              <w:rPr>
                <w:rFonts w:ascii="Arial" w:hAnsi="Arial" w:cs="Arial"/>
                <w:b/>
                <w:bCs/>
                <w:color w:val="000000"/>
              </w:rPr>
              <w:t> </w:t>
            </w:r>
            <w:r w:rsidRPr="004412A1">
              <w:rPr>
                <w:rFonts w:ascii="Arial" w:hAnsi="Arial" w:cs="Arial"/>
                <w:b/>
                <w:bCs/>
                <w:color w:val="000000"/>
              </w:rPr>
              <w:t>$</w:t>
            </w:r>
          </w:p>
        </w:tc>
      </w:tr>
    </w:tbl>
    <w:p w14:paraId="7FA66287" w14:textId="77777777" w:rsidR="006F6515" w:rsidRPr="004412A1" w:rsidRDefault="006F6515" w:rsidP="006F6515">
      <w:pPr>
        <w:autoSpaceDE w:val="0"/>
        <w:autoSpaceDN w:val="0"/>
        <w:adjustRightInd w:val="0"/>
        <w:snapToGrid w:val="0"/>
        <w:jc w:val="both"/>
        <w:rPr>
          <w:rFonts w:ascii="Arial" w:hAnsi="Arial" w:cs="Arial"/>
          <w:b/>
          <w:bCs/>
          <w:color w:val="000000"/>
        </w:rPr>
      </w:pPr>
    </w:p>
    <w:p w14:paraId="2D1ED339" w14:textId="77777777" w:rsidR="006F6515" w:rsidRPr="004412A1" w:rsidRDefault="006F6515" w:rsidP="006F6515">
      <w:pPr>
        <w:autoSpaceDE w:val="0"/>
        <w:autoSpaceDN w:val="0"/>
        <w:adjustRightInd w:val="0"/>
        <w:snapToGrid w:val="0"/>
        <w:jc w:val="both"/>
        <w:rPr>
          <w:rFonts w:ascii="Arial" w:hAnsi="Arial" w:cs="Arial"/>
          <w:b/>
          <w:bCs/>
          <w:color w:val="000000"/>
        </w:rPr>
      </w:pPr>
    </w:p>
    <w:p w14:paraId="129A070E" w14:textId="77777777" w:rsidR="006F6515" w:rsidRPr="004412A1" w:rsidRDefault="006F6515" w:rsidP="006F6515">
      <w:pPr>
        <w:shd w:val="clear" w:color="auto" w:fill="FFFFFF"/>
        <w:spacing w:after="150"/>
        <w:rPr>
          <w:rFonts w:ascii="Arial" w:hAnsi="Arial" w:cs="Arial"/>
          <w:b/>
          <w:bCs/>
          <w:color w:val="000000"/>
        </w:rPr>
      </w:pPr>
      <w:r w:rsidRPr="004412A1">
        <w:rPr>
          <w:rFonts w:ascii="Arial" w:hAnsi="Arial" w:cs="Arial"/>
          <w:b/>
          <w:bCs/>
          <w:color w:val="000000"/>
        </w:rPr>
        <w:t>D’autres interventions financières de la SODEC dans le secteur audiovisuel</w:t>
      </w:r>
    </w:p>
    <w:tbl>
      <w:tblPr>
        <w:tblStyle w:val="Grilledutableau"/>
        <w:tblW w:w="0" w:type="auto"/>
        <w:tblLook w:val="04A0" w:firstRow="1" w:lastRow="0" w:firstColumn="1" w:lastColumn="0" w:noHBand="0" w:noVBand="1"/>
      </w:tblPr>
      <w:tblGrid>
        <w:gridCol w:w="3356"/>
        <w:gridCol w:w="750"/>
        <w:gridCol w:w="1647"/>
        <w:gridCol w:w="1158"/>
        <w:gridCol w:w="1639"/>
      </w:tblGrid>
      <w:tr w:rsidR="006F6515" w:rsidRPr="004412A1" w14:paraId="148A95DC" w14:textId="77777777" w:rsidTr="007009CA">
        <w:tc>
          <w:tcPr>
            <w:tcW w:w="3356" w:type="dxa"/>
          </w:tcPr>
          <w:p w14:paraId="3A0D534B" w14:textId="77777777" w:rsidR="006F6515" w:rsidRPr="004412A1" w:rsidRDefault="006F6515" w:rsidP="007009CA">
            <w:pPr>
              <w:autoSpaceDE w:val="0"/>
              <w:autoSpaceDN w:val="0"/>
              <w:adjustRightInd w:val="0"/>
              <w:snapToGrid w:val="0"/>
              <w:rPr>
                <w:rFonts w:ascii="Arial" w:hAnsi="Arial" w:cs="Arial"/>
                <w:color w:val="000000"/>
              </w:rPr>
            </w:pPr>
          </w:p>
        </w:tc>
        <w:tc>
          <w:tcPr>
            <w:tcW w:w="2397" w:type="dxa"/>
            <w:gridSpan w:val="2"/>
          </w:tcPr>
          <w:p w14:paraId="2C41285C" w14:textId="77777777" w:rsidR="006F6515" w:rsidRPr="004412A1" w:rsidRDefault="006F6515" w:rsidP="00EF4779">
            <w:pPr>
              <w:autoSpaceDE w:val="0"/>
              <w:autoSpaceDN w:val="0"/>
              <w:adjustRightInd w:val="0"/>
              <w:snapToGrid w:val="0"/>
              <w:jc w:val="center"/>
              <w:rPr>
                <w:rFonts w:ascii="Arial" w:hAnsi="Arial" w:cs="Arial"/>
                <w:color w:val="000000"/>
              </w:rPr>
            </w:pPr>
            <w:r w:rsidRPr="004412A1">
              <w:rPr>
                <w:rFonts w:ascii="Arial" w:hAnsi="Arial" w:cs="Arial"/>
                <w:color w:val="000000"/>
              </w:rPr>
              <w:t>2019-2020</w:t>
            </w:r>
          </w:p>
        </w:tc>
        <w:tc>
          <w:tcPr>
            <w:tcW w:w="2797" w:type="dxa"/>
            <w:gridSpan w:val="2"/>
          </w:tcPr>
          <w:p w14:paraId="5AB6092B" w14:textId="77777777" w:rsidR="006F6515" w:rsidRPr="004412A1" w:rsidRDefault="006F6515" w:rsidP="00EF4779">
            <w:pPr>
              <w:autoSpaceDE w:val="0"/>
              <w:autoSpaceDN w:val="0"/>
              <w:adjustRightInd w:val="0"/>
              <w:snapToGrid w:val="0"/>
              <w:jc w:val="center"/>
              <w:rPr>
                <w:rFonts w:ascii="Arial" w:hAnsi="Arial" w:cs="Arial"/>
                <w:color w:val="000000"/>
              </w:rPr>
            </w:pPr>
            <w:r w:rsidRPr="004412A1">
              <w:rPr>
                <w:rFonts w:ascii="Arial" w:hAnsi="Arial" w:cs="Arial"/>
                <w:color w:val="000000"/>
              </w:rPr>
              <w:t>2020-2021</w:t>
            </w:r>
          </w:p>
        </w:tc>
      </w:tr>
      <w:tr w:rsidR="006F6515" w:rsidRPr="004412A1" w14:paraId="75DF0EE3" w14:textId="77777777" w:rsidTr="007009CA">
        <w:tc>
          <w:tcPr>
            <w:tcW w:w="3356" w:type="dxa"/>
          </w:tcPr>
          <w:p w14:paraId="23A3C73B"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Financement des entreprises par la Banque d’affaires</w:t>
            </w:r>
          </w:p>
        </w:tc>
        <w:tc>
          <w:tcPr>
            <w:tcW w:w="750" w:type="dxa"/>
          </w:tcPr>
          <w:p w14:paraId="5D1EDFA6"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35</w:t>
            </w:r>
          </w:p>
        </w:tc>
        <w:tc>
          <w:tcPr>
            <w:tcW w:w="1647" w:type="dxa"/>
          </w:tcPr>
          <w:p w14:paraId="0476CC82"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27 636 017 $</w:t>
            </w:r>
          </w:p>
        </w:tc>
        <w:tc>
          <w:tcPr>
            <w:tcW w:w="1158" w:type="dxa"/>
          </w:tcPr>
          <w:p w14:paraId="5C904B9A"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28</w:t>
            </w:r>
          </w:p>
        </w:tc>
        <w:tc>
          <w:tcPr>
            <w:tcW w:w="1639" w:type="dxa"/>
          </w:tcPr>
          <w:p w14:paraId="26B12B83"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22 798 500 $</w:t>
            </w:r>
          </w:p>
        </w:tc>
      </w:tr>
      <w:tr w:rsidR="006F6515" w:rsidRPr="004412A1" w14:paraId="4CC06533" w14:textId="77777777" w:rsidTr="007009CA">
        <w:tc>
          <w:tcPr>
            <w:tcW w:w="3356" w:type="dxa"/>
          </w:tcPr>
          <w:p w14:paraId="094B138D"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Soutien temporaire au fonds de roulement COVID-19 accordé par la Banque d’affaires</w:t>
            </w:r>
          </w:p>
        </w:tc>
        <w:tc>
          <w:tcPr>
            <w:tcW w:w="750" w:type="dxa"/>
          </w:tcPr>
          <w:p w14:paraId="2039D015" w14:textId="77777777" w:rsidR="006F6515" w:rsidRPr="004412A1" w:rsidRDefault="006F6515" w:rsidP="007009CA">
            <w:pPr>
              <w:autoSpaceDE w:val="0"/>
              <w:autoSpaceDN w:val="0"/>
              <w:adjustRightInd w:val="0"/>
              <w:snapToGrid w:val="0"/>
              <w:rPr>
                <w:rFonts w:ascii="Arial" w:hAnsi="Arial" w:cs="Arial"/>
                <w:color w:val="000000"/>
              </w:rPr>
            </w:pPr>
          </w:p>
        </w:tc>
        <w:tc>
          <w:tcPr>
            <w:tcW w:w="1647" w:type="dxa"/>
          </w:tcPr>
          <w:p w14:paraId="64F07085" w14:textId="77777777" w:rsidR="006F6515" w:rsidRPr="004412A1" w:rsidRDefault="006F6515" w:rsidP="00EF4779">
            <w:pPr>
              <w:autoSpaceDE w:val="0"/>
              <w:autoSpaceDN w:val="0"/>
              <w:adjustRightInd w:val="0"/>
              <w:snapToGrid w:val="0"/>
              <w:jc w:val="right"/>
              <w:rPr>
                <w:rFonts w:ascii="Arial" w:hAnsi="Arial" w:cs="Arial"/>
                <w:color w:val="000000"/>
              </w:rPr>
            </w:pPr>
          </w:p>
        </w:tc>
        <w:tc>
          <w:tcPr>
            <w:tcW w:w="1158" w:type="dxa"/>
          </w:tcPr>
          <w:p w14:paraId="771995AD"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19</w:t>
            </w:r>
          </w:p>
        </w:tc>
        <w:tc>
          <w:tcPr>
            <w:tcW w:w="1639" w:type="dxa"/>
          </w:tcPr>
          <w:p w14:paraId="2B8FF540"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24 150 000 $</w:t>
            </w:r>
          </w:p>
        </w:tc>
      </w:tr>
      <w:tr w:rsidR="006F6515" w:rsidRPr="004412A1" w14:paraId="54E67398" w14:textId="77777777" w:rsidTr="007009CA">
        <w:tc>
          <w:tcPr>
            <w:tcW w:w="3356" w:type="dxa"/>
          </w:tcPr>
          <w:p w14:paraId="0BF74446"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Financement intérimaire des crédits d’impôt par la Banque d’affaires</w:t>
            </w:r>
          </w:p>
        </w:tc>
        <w:tc>
          <w:tcPr>
            <w:tcW w:w="750" w:type="dxa"/>
          </w:tcPr>
          <w:p w14:paraId="2802F6BD"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34</w:t>
            </w:r>
          </w:p>
        </w:tc>
        <w:tc>
          <w:tcPr>
            <w:tcW w:w="1647" w:type="dxa"/>
          </w:tcPr>
          <w:p w14:paraId="14C08B2D"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2 589 093 $</w:t>
            </w:r>
          </w:p>
          <w:p w14:paraId="39A80102" w14:textId="77777777" w:rsidR="006F6515" w:rsidRPr="004412A1" w:rsidRDefault="006F6515" w:rsidP="00EF4779">
            <w:pPr>
              <w:autoSpaceDE w:val="0"/>
              <w:autoSpaceDN w:val="0"/>
              <w:adjustRightInd w:val="0"/>
              <w:snapToGrid w:val="0"/>
              <w:jc w:val="right"/>
              <w:rPr>
                <w:rFonts w:ascii="Arial" w:hAnsi="Arial" w:cs="Arial"/>
                <w:color w:val="000000"/>
              </w:rPr>
            </w:pPr>
          </w:p>
        </w:tc>
        <w:tc>
          <w:tcPr>
            <w:tcW w:w="1158" w:type="dxa"/>
          </w:tcPr>
          <w:p w14:paraId="7D3B8463"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19</w:t>
            </w:r>
          </w:p>
        </w:tc>
        <w:tc>
          <w:tcPr>
            <w:tcW w:w="1639" w:type="dxa"/>
          </w:tcPr>
          <w:p w14:paraId="6F52C1EC"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884 238 $</w:t>
            </w:r>
          </w:p>
        </w:tc>
      </w:tr>
      <w:tr w:rsidR="006F6515" w:rsidRPr="004412A1" w14:paraId="035CBD88" w14:textId="77777777" w:rsidTr="007009CA">
        <w:tc>
          <w:tcPr>
            <w:tcW w:w="3356" w:type="dxa"/>
          </w:tcPr>
          <w:p w14:paraId="27ED679C"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Crédit d’impôt en production cinématographique et télévisuelle</w:t>
            </w:r>
          </w:p>
        </w:tc>
        <w:tc>
          <w:tcPr>
            <w:tcW w:w="750" w:type="dxa"/>
          </w:tcPr>
          <w:p w14:paraId="59AC99E5"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575</w:t>
            </w:r>
          </w:p>
        </w:tc>
        <w:tc>
          <w:tcPr>
            <w:tcW w:w="1647" w:type="dxa"/>
          </w:tcPr>
          <w:p w14:paraId="4D98D84F"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129 789 710 $</w:t>
            </w:r>
          </w:p>
        </w:tc>
        <w:tc>
          <w:tcPr>
            <w:tcW w:w="1158" w:type="dxa"/>
          </w:tcPr>
          <w:p w14:paraId="7BAF1AAC" w14:textId="77777777" w:rsidR="006F6515" w:rsidRPr="004412A1" w:rsidRDefault="006F6515" w:rsidP="007009CA">
            <w:pPr>
              <w:autoSpaceDE w:val="0"/>
              <w:autoSpaceDN w:val="0"/>
              <w:adjustRightInd w:val="0"/>
              <w:snapToGrid w:val="0"/>
              <w:rPr>
                <w:rFonts w:ascii="Arial" w:hAnsi="Arial" w:cs="Arial"/>
                <w:color w:val="000000"/>
              </w:rPr>
            </w:pPr>
            <w:r w:rsidRPr="004412A1">
              <w:rPr>
                <w:rFonts w:ascii="Arial" w:hAnsi="Arial" w:cs="Arial"/>
                <w:color w:val="000000"/>
              </w:rPr>
              <w:t>560</w:t>
            </w:r>
          </w:p>
        </w:tc>
        <w:tc>
          <w:tcPr>
            <w:tcW w:w="1639" w:type="dxa"/>
          </w:tcPr>
          <w:p w14:paraId="079F3FBC" w14:textId="77777777" w:rsidR="006F6515" w:rsidRPr="004412A1" w:rsidRDefault="006F6515" w:rsidP="00EF4779">
            <w:pPr>
              <w:autoSpaceDE w:val="0"/>
              <w:autoSpaceDN w:val="0"/>
              <w:adjustRightInd w:val="0"/>
              <w:snapToGrid w:val="0"/>
              <w:jc w:val="right"/>
              <w:rPr>
                <w:rFonts w:ascii="Arial" w:hAnsi="Arial" w:cs="Arial"/>
                <w:color w:val="000000"/>
              </w:rPr>
            </w:pPr>
            <w:r w:rsidRPr="004412A1">
              <w:rPr>
                <w:rFonts w:ascii="Arial" w:hAnsi="Arial" w:cs="Arial"/>
                <w:color w:val="000000"/>
              </w:rPr>
              <w:t>146 564 657 $</w:t>
            </w:r>
          </w:p>
        </w:tc>
      </w:tr>
      <w:tr w:rsidR="006F6515" w:rsidRPr="004412A1" w14:paraId="0BE1368E" w14:textId="77777777" w:rsidTr="007009CA">
        <w:tc>
          <w:tcPr>
            <w:tcW w:w="3356" w:type="dxa"/>
          </w:tcPr>
          <w:p w14:paraId="17DFC0A8" w14:textId="77777777" w:rsidR="006F6515" w:rsidRPr="004412A1" w:rsidRDefault="006F6515" w:rsidP="007009CA">
            <w:pPr>
              <w:autoSpaceDE w:val="0"/>
              <w:autoSpaceDN w:val="0"/>
              <w:adjustRightInd w:val="0"/>
              <w:snapToGrid w:val="0"/>
              <w:rPr>
                <w:rFonts w:ascii="Arial" w:hAnsi="Arial" w:cs="Arial"/>
                <w:b/>
                <w:bCs/>
                <w:color w:val="000000"/>
              </w:rPr>
            </w:pPr>
            <w:r w:rsidRPr="004412A1">
              <w:rPr>
                <w:rFonts w:ascii="Arial" w:hAnsi="Arial" w:cs="Arial"/>
                <w:b/>
                <w:bCs/>
                <w:color w:val="000000"/>
              </w:rPr>
              <w:t>Total du financement des mesures fiscales</w:t>
            </w:r>
          </w:p>
        </w:tc>
        <w:tc>
          <w:tcPr>
            <w:tcW w:w="750" w:type="dxa"/>
          </w:tcPr>
          <w:p w14:paraId="7DEEB3FC" w14:textId="77777777" w:rsidR="006F6515" w:rsidRPr="004412A1" w:rsidRDefault="006F6515" w:rsidP="007009CA">
            <w:pPr>
              <w:autoSpaceDE w:val="0"/>
              <w:autoSpaceDN w:val="0"/>
              <w:adjustRightInd w:val="0"/>
              <w:snapToGrid w:val="0"/>
              <w:rPr>
                <w:rFonts w:ascii="Arial" w:hAnsi="Arial" w:cs="Arial"/>
                <w:b/>
                <w:bCs/>
                <w:color w:val="000000"/>
              </w:rPr>
            </w:pPr>
            <w:r w:rsidRPr="004412A1">
              <w:rPr>
                <w:rFonts w:ascii="Arial" w:hAnsi="Arial" w:cs="Arial"/>
                <w:b/>
                <w:bCs/>
                <w:color w:val="000000"/>
              </w:rPr>
              <w:t>644</w:t>
            </w:r>
          </w:p>
        </w:tc>
        <w:tc>
          <w:tcPr>
            <w:tcW w:w="1647" w:type="dxa"/>
          </w:tcPr>
          <w:p w14:paraId="497BCB46" w14:textId="77777777" w:rsidR="006F6515" w:rsidRPr="004412A1" w:rsidRDefault="006F6515" w:rsidP="00EF4779">
            <w:pPr>
              <w:autoSpaceDE w:val="0"/>
              <w:autoSpaceDN w:val="0"/>
              <w:adjustRightInd w:val="0"/>
              <w:snapToGrid w:val="0"/>
              <w:jc w:val="right"/>
              <w:rPr>
                <w:rFonts w:ascii="Arial" w:hAnsi="Arial" w:cs="Arial"/>
                <w:b/>
                <w:bCs/>
                <w:color w:val="000000"/>
              </w:rPr>
            </w:pPr>
            <w:r w:rsidRPr="004412A1">
              <w:rPr>
                <w:rFonts w:ascii="Arial" w:hAnsi="Arial" w:cs="Arial"/>
                <w:b/>
                <w:bCs/>
                <w:color w:val="000000"/>
              </w:rPr>
              <w:t>160 014 820 $</w:t>
            </w:r>
          </w:p>
        </w:tc>
        <w:tc>
          <w:tcPr>
            <w:tcW w:w="1158" w:type="dxa"/>
          </w:tcPr>
          <w:p w14:paraId="2D3218AB" w14:textId="77777777" w:rsidR="006F6515" w:rsidRPr="004412A1" w:rsidRDefault="006F6515" w:rsidP="007009CA">
            <w:pPr>
              <w:autoSpaceDE w:val="0"/>
              <w:autoSpaceDN w:val="0"/>
              <w:adjustRightInd w:val="0"/>
              <w:snapToGrid w:val="0"/>
              <w:rPr>
                <w:rFonts w:ascii="Arial" w:hAnsi="Arial" w:cs="Arial"/>
                <w:b/>
                <w:bCs/>
                <w:color w:val="000000"/>
              </w:rPr>
            </w:pPr>
            <w:r w:rsidRPr="004412A1">
              <w:rPr>
                <w:rFonts w:ascii="Arial" w:hAnsi="Arial" w:cs="Arial"/>
                <w:b/>
                <w:bCs/>
                <w:color w:val="000000"/>
              </w:rPr>
              <w:t>626</w:t>
            </w:r>
          </w:p>
        </w:tc>
        <w:tc>
          <w:tcPr>
            <w:tcW w:w="1639" w:type="dxa"/>
          </w:tcPr>
          <w:p w14:paraId="75E92299" w14:textId="77777777" w:rsidR="006F6515" w:rsidRPr="004412A1" w:rsidRDefault="006F6515" w:rsidP="00EF4779">
            <w:pPr>
              <w:autoSpaceDE w:val="0"/>
              <w:autoSpaceDN w:val="0"/>
              <w:adjustRightInd w:val="0"/>
              <w:snapToGrid w:val="0"/>
              <w:jc w:val="right"/>
              <w:rPr>
                <w:rFonts w:ascii="Arial" w:hAnsi="Arial" w:cs="Arial"/>
                <w:b/>
                <w:bCs/>
                <w:color w:val="000000"/>
              </w:rPr>
            </w:pPr>
            <w:r w:rsidRPr="004412A1">
              <w:rPr>
                <w:rFonts w:ascii="Arial" w:hAnsi="Arial" w:cs="Arial"/>
                <w:b/>
                <w:bCs/>
                <w:color w:val="000000"/>
              </w:rPr>
              <w:t>194 397 395 $</w:t>
            </w:r>
          </w:p>
        </w:tc>
      </w:tr>
    </w:tbl>
    <w:p w14:paraId="59F69983" w14:textId="77777777" w:rsidR="006F6515" w:rsidRPr="00012523" w:rsidRDefault="006F6515" w:rsidP="00012523">
      <w:pPr>
        <w:jc w:val="both"/>
        <w:rPr>
          <w:rFonts w:ascii="Arial" w:hAnsi="Arial" w:cs="Arial"/>
          <w:color w:val="000000"/>
        </w:rPr>
      </w:pPr>
    </w:p>
    <w:p w14:paraId="646C0BB5" w14:textId="77777777" w:rsidR="00012523" w:rsidRDefault="00012523" w:rsidP="00012523"/>
    <w:sectPr w:rsidR="00012523">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CEC6" w14:textId="77777777" w:rsidR="00B87BD5" w:rsidRDefault="00B87BD5" w:rsidP="003A5E05">
      <w:r>
        <w:separator/>
      </w:r>
    </w:p>
  </w:endnote>
  <w:endnote w:type="continuationSeparator" w:id="0">
    <w:p w14:paraId="49984D7B" w14:textId="77777777" w:rsidR="00B87BD5" w:rsidRDefault="00B87BD5" w:rsidP="003A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77EB" w14:textId="77777777" w:rsidR="00B87BD5" w:rsidRDefault="00B87BD5" w:rsidP="003A5E05">
      <w:r>
        <w:separator/>
      </w:r>
    </w:p>
  </w:footnote>
  <w:footnote w:type="continuationSeparator" w:id="0">
    <w:p w14:paraId="58F5ECF9" w14:textId="77777777" w:rsidR="00B87BD5" w:rsidRDefault="00B87BD5" w:rsidP="003A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3" w:type="dxa"/>
      <w:tblInd w:w="-1980" w:type="dxa"/>
      <w:tblLayout w:type="fixed"/>
      <w:tblCellMar>
        <w:left w:w="0" w:type="dxa"/>
        <w:right w:w="0" w:type="dxa"/>
      </w:tblCellMar>
      <w:tblLook w:val="0000" w:firstRow="0" w:lastRow="0" w:firstColumn="0" w:lastColumn="0" w:noHBand="0" w:noVBand="0"/>
    </w:tblPr>
    <w:tblGrid>
      <w:gridCol w:w="2034"/>
      <w:gridCol w:w="919"/>
      <w:gridCol w:w="4610"/>
      <w:gridCol w:w="3960"/>
    </w:tblGrid>
    <w:tr w:rsidR="00ED0C29" w14:paraId="2CDC6F69" w14:textId="77777777" w:rsidTr="00635FB0">
      <w:trPr>
        <w:trHeight w:val="1171"/>
      </w:trPr>
      <w:tc>
        <w:tcPr>
          <w:tcW w:w="2953" w:type="dxa"/>
          <w:gridSpan w:val="2"/>
          <w:vAlign w:val="bottom"/>
        </w:tcPr>
        <w:p w14:paraId="574F48E0" w14:textId="77777777" w:rsidR="00ED0C29" w:rsidRPr="00DC5D09" w:rsidRDefault="00ED0C29" w:rsidP="00ED0C29">
          <w:pPr>
            <w:tabs>
              <w:tab w:val="center" w:pos="4320"/>
              <w:tab w:val="right" w:pos="8640"/>
            </w:tabs>
            <w:rPr>
              <w:color w:val="000000"/>
            </w:rPr>
          </w:pPr>
          <w:r>
            <w:rPr>
              <w:noProof/>
              <w:lang w:eastAsia="fr-CA"/>
            </w:rPr>
            <w:drawing>
              <wp:anchor distT="0" distB="0" distL="114300" distR="114300" simplePos="0" relativeHeight="251659264" behindDoc="0" locked="0" layoutInCell="1" allowOverlap="1" wp14:anchorId="0409A81D" wp14:editId="01831583">
                <wp:simplePos x="0" y="0"/>
                <wp:positionH relativeFrom="column">
                  <wp:posOffset>87630</wp:posOffset>
                </wp:positionH>
                <wp:positionV relativeFrom="paragraph">
                  <wp:posOffset>76200</wp:posOffset>
                </wp:positionV>
                <wp:extent cx="1580515" cy="673100"/>
                <wp:effectExtent l="0" t="0" r="63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673100"/>
                        </a:xfrm>
                        <a:prstGeom prst="rect">
                          <a:avLst/>
                        </a:prstGeom>
                        <a:noFill/>
                      </pic:spPr>
                    </pic:pic>
                  </a:graphicData>
                </a:graphic>
                <wp14:sizeRelH relativeFrom="page">
                  <wp14:pctWidth>0</wp14:pctWidth>
                </wp14:sizeRelH>
                <wp14:sizeRelV relativeFrom="page">
                  <wp14:pctHeight>0</wp14:pctHeight>
                </wp14:sizeRelV>
              </wp:anchor>
            </w:drawing>
          </w:r>
        </w:p>
      </w:tc>
      <w:tc>
        <w:tcPr>
          <w:tcW w:w="8570" w:type="dxa"/>
          <w:gridSpan w:val="2"/>
          <w:vAlign w:val="bottom"/>
        </w:tcPr>
        <w:p w14:paraId="17AB976A" w14:textId="77777777" w:rsidR="00ED0C29" w:rsidRPr="00DC5D09" w:rsidRDefault="00ED0C29" w:rsidP="00ED0C29">
          <w:pPr>
            <w:tabs>
              <w:tab w:val="center" w:pos="4320"/>
              <w:tab w:val="right" w:pos="8640"/>
            </w:tabs>
            <w:jc w:val="right"/>
            <w:rPr>
              <w:rFonts w:ascii="Chaloult_Cond" w:hAnsi="Chaloult_Cond" w:cs="Chaloult_Cond"/>
              <w:color w:val="000000"/>
              <w:sz w:val="52"/>
              <w:szCs w:val="52"/>
            </w:rPr>
          </w:pPr>
          <w:r w:rsidRPr="00DC5D09">
            <w:rPr>
              <w:rFonts w:ascii="Chaloult_Cond" w:hAnsi="Chaloult_Cond" w:cs="Chaloult_Cond"/>
              <w:color w:val="000000"/>
              <w:sz w:val="52"/>
              <w:szCs w:val="52"/>
            </w:rPr>
            <w:t>Communiqué</w:t>
          </w:r>
        </w:p>
      </w:tc>
    </w:tr>
    <w:tr w:rsidR="00ED0C29" w14:paraId="1F510124" w14:textId="77777777" w:rsidTr="00635FB0">
      <w:trPr>
        <w:gridAfter w:val="1"/>
        <w:wAfter w:w="3960" w:type="dxa"/>
      </w:trPr>
      <w:tc>
        <w:tcPr>
          <w:tcW w:w="2034" w:type="dxa"/>
        </w:tcPr>
        <w:p w14:paraId="1FAAE7F0" w14:textId="77777777" w:rsidR="00ED0C29" w:rsidRPr="00DC5D09" w:rsidRDefault="00ED0C29" w:rsidP="00ED0C29">
          <w:pPr>
            <w:tabs>
              <w:tab w:val="center" w:pos="4320"/>
              <w:tab w:val="right" w:pos="8640"/>
            </w:tabs>
            <w:rPr>
              <w:color w:val="000000"/>
            </w:rPr>
          </w:pPr>
        </w:p>
      </w:tc>
      <w:tc>
        <w:tcPr>
          <w:tcW w:w="5529" w:type="dxa"/>
          <w:gridSpan w:val="2"/>
        </w:tcPr>
        <w:p w14:paraId="7A909F07" w14:textId="77777777" w:rsidR="00ED0C29" w:rsidRPr="00DC5D09" w:rsidRDefault="00ED0C29" w:rsidP="00ED0C29">
          <w:pPr>
            <w:rPr>
              <w:rFonts w:ascii="Chaloult_Cond" w:hAnsi="Chaloult_Cond" w:cs="Chaloult_Cond"/>
              <w:color w:val="000000"/>
              <w:sz w:val="16"/>
              <w:szCs w:val="16"/>
            </w:rPr>
          </w:pPr>
          <w:r w:rsidRPr="00DC5D09">
            <w:rPr>
              <w:rFonts w:ascii="Chaloult_Cond" w:hAnsi="Chaloult_Cond" w:cs="Chaloult_Cond"/>
              <w:color w:val="000000"/>
              <w:sz w:val="16"/>
              <w:szCs w:val="16"/>
            </w:rPr>
            <w:t>Gouvernement du Québec</w:t>
          </w:r>
        </w:p>
        <w:p w14:paraId="1931BC44" w14:textId="77777777" w:rsidR="00ED0C29" w:rsidRPr="00DC5D09" w:rsidRDefault="00ED0C29" w:rsidP="00ED0C29">
          <w:pPr>
            <w:rPr>
              <w:rFonts w:ascii="Chaloult_Cond_Demi_Gras" w:hAnsi="Chaloult_Cond_Demi_Gras" w:cs="Chaloult_Cond_Demi_Gras"/>
              <w:color w:val="000000"/>
              <w:sz w:val="16"/>
              <w:szCs w:val="16"/>
            </w:rPr>
          </w:pPr>
          <w:r w:rsidRPr="00DC5D09">
            <w:rPr>
              <w:rFonts w:ascii="Chaloult_Cond_Demi_Gras" w:hAnsi="Chaloult_Cond_Demi_Gras" w:cs="Chaloult_Cond_Demi_Gras"/>
              <w:color w:val="000000"/>
              <w:sz w:val="16"/>
              <w:szCs w:val="16"/>
            </w:rPr>
            <w:t>Cabinet de la ministre de la Culture et des Communications</w:t>
          </w:r>
        </w:p>
        <w:p w14:paraId="241045C3" w14:textId="77777777" w:rsidR="00ED0C29" w:rsidRPr="00DC5D09" w:rsidRDefault="00ED0C29" w:rsidP="00ED0C29">
          <w:pPr>
            <w:rPr>
              <w:rFonts w:ascii="Chaloult_Cond_Demi_Gras" w:hAnsi="Chaloult_Cond_Demi_Gras" w:cs="Chaloult_Cond_Demi_Gras"/>
              <w:b/>
              <w:color w:val="000000"/>
              <w:sz w:val="15"/>
              <w:szCs w:val="15"/>
            </w:rPr>
          </w:pPr>
          <w:r w:rsidRPr="00DC5D09">
            <w:rPr>
              <w:rFonts w:ascii="Chaloult_Cond_Demi_Gras" w:hAnsi="Chaloult_Cond_Demi_Gras" w:cs="Chaloult_Cond_Demi_Gras"/>
              <w:color w:val="000000"/>
              <w:sz w:val="16"/>
              <w:szCs w:val="16"/>
            </w:rPr>
            <w:t>Députée de Montarville</w:t>
          </w:r>
        </w:p>
      </w:tc>
    </w:tr>
  </w:tbl>
  <w:p w14:paraId="01A57782" w14:textId="77777777" w:rsidR="00ED0C29" w:rsidRDefault="00ED0C29" w:rsidP="00ED0C29">
    <w:pPr>
      <w:pStyle w:val="Titre3"/>
      <w:tabs>
        <w:tab w:val="left" w:pos="0"/>
      </w:tabs>
      <w:ind w:right="-796"/>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Pour diffusion immédiate</w:t>
    </w:r>
  </w:p>
  <w:p w14:paraId="43E656E5" w14:textId="77777777" w:rsidR="00ED0C29" w:rsidRDefault="00ED0C29" w:rsidP="00ED0C29">
    <w:pPr>
      <w:ind w:right="-796"/>
      <w:jc w:val="right"/>
      <w:rPr>
        <w:rFonts w:ascii="Arial" w:hAnsi="Arial" w:cs="Arial"/>
        <w:sz w:val="22"/>
        <w:szCs w:val="22"/>
      </w:rPr>
    </w:pPr>
    <w:proofErr w:type="spellStart"/>
    <w:r>
      <w:rPr>
        <w:rFonts w:ascii="Arial" w:hAnsi="Arial" w:cs="Arial"/>
        <w:sz w:val="22"/>
        <w:szCs w:val="22"/>
      </w:rPr>
      <w:t>Cision</w:t>
    </w:r>
    <w:proofErr w:type="spellEnd"/>
    <w:r>
      <w:rPr>
        <w:rFonts w:ascii="Arial" w:hAnsi="Arial" w:cs="Arial"/>
        <w:sz w:val="22"/>
        <w:szCs w:val="22"/>
      </w:rPr>
      <w:t xml:space="preserve"> code 01 + hebdos</w:t>
    </w:r>
  </w:p>
  <w:p w14:paraId="76A07085" w14:textId="77777777" w:rsidR="00ED0C29" w:rsidRDefault="00ED0C29" w:rsidP="00ED0C29"/>
  <w:p w14:paraId="3A816900" w14:textId="77777777" w:rsidR="003A5E05" w:rsidRPr="00ED0C29" w:rsidRDefault="003A5E05" w:rsidP="00ED0C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2E6D"/>
    <w:multiLevelType w:val="hybridMultilevel"/>
    <w:tmpl w:val="7AB6FD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4E1370EB"/>
    <w:multiLevelType w:val="hybridMultilevel"/>
    <w:tmpl w:val="B824F6CA"/>
    <w:lvl w:ilvl="0" w:tplc="13889B2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23"/>
    <w:rsid w:val="00012523"/>
    <w:rsid w:val="0006703E"/>
    <w:rsid w:val="003A5E05"/>
    <w:rsid w:val="004412A1"/>
    <w:rsid w:val="006111AD"/>
    <w:rsid w:val="006F6515"/>
    <w:rsid w:val="007C0F35"/>
    <w:rsid w:val="008605DA"/>
    <w:rsid w:val="00A31BAE"/>
    <w:rsid w:val="00B87BD5"/>
    <w:rsid w:val="00E71917"/>
    <w:rsid w:val="00ED0C29"/>
    <w:rsid w:val="00EF4779"/>
    <w:rsid w:val="00F94A16"/>
    <w:rsid w:val="00FB41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8F8D"/>
  <w15:chartTrackingRefBased/>
  <w15:docId w15:val="{F3EAD61C-B0F6-4EA2-8037-0AD1DFCB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23"/>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9"/>
    <w:qFormat/>
    <w:rsid w:val="00ED0C29"/>
    <w:pPr>
      <w:keepNext/>
      <w:widowControl w:val="0"/>
      <w:jc w:val="both"/>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523"/>
    <w:pPr>
      <w:ind w:left="720"/>
      <w:contextualSpacing/>
    </w:pPr>
    <w:rPr>
      <w:lang w:eastAsia="fr-CA"/>
    </w:rPr>
  </w:style>
  <w:style w:type="character" w:styleId="Appelnotedebasdep">
    <w:name w:val="footnote reference"/>
    <w:basedOn w:val="Policepardfaut"/>
    <w:uiPriority w:val="99"/>
    <w:semiHidden/>
    <w:unhideWhenUsed/>
    <w:rsid w:val="00012523"/>
    <w:rPr>
      <w:vertAlign w:val="superscript"/>
    </w:rPr>
  </w:style>
  <w:style w:type="character" w:styleId="Marquedecommentaire">
    <w:name w:val="annotation reference"/>
    <w:uiPriority w:val="99"/>
    <w:rsid w:val="00012523"/>
    <w:rPr>
      <w:rFonts w:cs="Times New Roman"/>
      <w:sz w:val="16"/>
      <w:szCs w:val="16"/>
    </w:rPr>
  </w:style>
  <w:style w:type="paragraph" w:styleId="Commentaire">
    <w:name w:val="annotation text"/>
    <w:basedOn w:val="Normal"/>
    <w:link w:val="CommentaireCar"/>
    <w:uiPriority w:val="99"/>
    <w:rsid w:val="00012523"/>
  </w:style>
  <w:style w:type="character" w:customStyle="1" w:styleId="CommentaireCar">
    <w:name w:val="Commentaire Car"/>
    <w:basedOn w:val="Policepardfaut"/>
    <w:link w:val="Commentaire"/>
    <w:uiPriority w:val="99"/>
    <w:rsid w:val="0001252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125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523"/>
    <w:rPr>
      <w:rFonts w:ascii="Segoe UI" w:eastAsia="Times New Roman" w:hAnsi="Segoe UI" w:cs="Segoe UI"/>
      <w:sz w:val="18"/>
      <w:szCs w:val="18"/>
      <w:lang w:eastAsia="fr-FR"/>
    </w:rPr>
  </w:style>
  <w:style w:type="table" w:styleId="Grilledutableau">
    <w:name w:val="Table Grid"/>
    <w:basedOn w:val="TableauNormal"/>
    <w:uiPriority w:val="39"/>
    <w:rsid w:val="006F651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6F6515"/>
    <w:pPr>
      <w:spacing w:after="0" w:line="240" w:lineRule="auto"/>
    </w:pPr>
    <w:rPr>
      <w:rFonts w:ascii="Times New Roman" w:eastAsia="Times New Roman" w:hAnsi="Times New Roman" w:cs="Times New Roman"/>
      <w:sz w:val="20"/>
      <w:szCs w:val="20"/>
      <w:lang w:eastAsia="fr-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3A5E05"/>
    <w:pPr>
      <w:tabs>
        <w:tab w:val="center" w:pos="4320"/>
        <w:tab w:val="right" w:pos="8640"/>
      </w:tabs>
    </w:pPr>
  </w:style>
  <w:style w:type="character" w:customStyle="1" w:styleId="En-tteCar">
    <w:name w:val="En-tête Car"/>
    <w:basedOn w:val="Policepardfaut"/>
    <w:link w:val="En-tte"/>
    <w:uiPriority w:val="99"/>
    <w:rsid w:val="003A5E0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A5E05"/>
    <w:pPr>
      <w:tabs>
        <w:tab w:val="center" w:pos="4320"/>
        <w:tab w:val="right" w:pos="8640"/>
      </w:tabs>
    </w:pPr>
  </w:style>
  <w:style w:type="character" w:customStyle="1" w:styleId="PieddepageCar">
    <w:name w:val="Pied de page Car"/>
    <w:basedOn w:val="Policepardfaut"/>
    <w:link w:val="Pieddepage"/>
    <w:uiPriority w:val="99"/>
    <w:rsid w:val="003A5E05"/>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9"/>
    <w:rsid w:val="00ED0C29"/>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4031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des communications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Gouin</dc:creator>
  <cp:keywords/>
  <dc:description/>
  <cp:lastModifiedBy>Baud, Hélène</cp:lastModifiedBy>
  <cp:revision>2</cp:revision>
  <dcterms:created xsi:type="dcterms:W3CDTF">2021-06-23T13:37:00Z</dcterms:created>
  <dcterms:modified xsi:type="dcterms:W3CDTF">2021-06-23T13:37:00Z</dcterms:modified>
</cp:coreProperties>
</file>